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2F28" w14:textId="77777777" w:rsidR="002C13D1" w:rsidRPr="001D0846" w:rsidRDefault="002C13D1" w:rsidP="00E17313">
      <w:pPr>
        <w:spacing w:line="240" w:lineRule="auto"/>
        <w:jc w:val="right"/>
        <w:rPr>
          <w:rFonts w:ascii="Arial" w:hAnsi="Arial" w:cs="Arial"/>
        </w:rPr>
      </w:pPr>
    </w:p>
    <w:p w14:paraId="2C2D525E" w14:textId="2607CEE9" w:rsidR="007242EE" w:rsidRPr="001D0846" w:rsidRDefault="007242EE" w:rsidP="00E17313">
      <w:pPr>
        <w:spacing w:line="240" w:lineRule="auto"/>
        <w:jc w:val="right"/>
        <w:rPr>
          <w:rFonts w:ascii="Arial" w:hAnsi="Arial" w:cs="Arial"/>
        </w:rPr>
      </w:pPr>
      <w:r w:rsidRPr="001D0846">
        <w:rPr>
          <w:rFonts w:ascii="Arial" w:hAnsi="Arial" w:cs="Arial"/>
        </w:rPr>
        <w:t>29 February 2024</w:t>
      </w:r>
    </w:p>
    <w:p w14:paraId="45EEEDA0" w14:textId="77777777" w:rsidR="00C23071" w:rsidRPr="001D0846" w:rsidRDefault="00C23071" w:rsidP="00E17313">
      <w:pPr>
        <w:spacing w:line="240" w:lineRule="auto"/>
        <w:jc w:val="right"/>
        <w:rPr>
          <w:rFonts w:ascii="Arial" w:hAnsi="Arial" w:cs="Arial"/>
        </w:rPr>
      </w:pPr>
    </w:p>
    <w:p w14:paraId="03360013" w14:textId="675E6A66" w:rsidR="007242EE" w:rsidRPr="001D0846" w:rsidRDefault="00B73FE5" w:rsidP="00E17313">
      <w:pPr>
        <w:spacing w:line="240" w:lineRule="auto"/>
        <w:jc w:val="center"/>
        <w:rPr>
          <w:rFonts w:ascii="Arial" w:hAnsi="Arial" w:cs="Arial"/>
          <w:b/>
          <w:bCs/>
          <w:color w:val="002060"/>
        </w:rPr>
      </w:pPr>
      <w:r w:rsidRPr="001D0846">
        <w:rPr>
          <w:rFonts w:ascii="Arial" w:hAnsi="Arial" w:cs="Arial"/>
          <w:b/>
          <w:bCs/>
          <w:color w:val="002060"/>
        </w:rPr>
        <w:t>C</w:t>
      </w:r>
      <w:r w:rsidR="00BA05CE" w:rsidRPr="001D0846">
        <w:rPr>
          <w:rFonts w:ascii="Arial" w:hAnsi="Arial" w:cs="Arial"/>
          <w:b/>
          <w:bCs/>
          <w:color w:val="002060"/>
        </w:rPr>
        <w:t xml:space="preserve">omments on the </w:t>
      </w:r>
      <w:r w:rsidR="00A42730" w:rsidRPr="001D0846">
        <w:rPr>
          <w:rFonts w:ascii="Arial" w:hAnsi="Arial" w:cs="Arial"/>
          <w:b/>
          <w:bCs/>
          <w:color w:val="002060"/>
        </w:rPr>
        <w:t>proposal</w:t>
      </w:r>
      <w:r w:rsidR="007242EE" w:rsidRPr="001D0846">
        <w:rPr>
          <w:rFonts w:ascii="Arial" w:hAnsi="Arial" w:cs="Arial"/>
          <w:b/>
          <w:bCs/>
          <w:color w:val="002060"/>
        </w:rPr>
        <w:t xml:space="preserve"> to revise the Estonian Advertising Ac</w:t>
      </w:r>
      <w:r w:rsidR="00053803" w:rsidRPr="001D0846">
        <w:rPr>
          <w:rFonts w:ascii="Arial" w:hAnsi="Arial" w:cs="Arial"/>
          <w:b/>
          <w:bCs/>
          <w:color w:val="002060"/>
        </w:rPr>
        <w:t>t</w:t>
      </w:r>
      <w:r w:rsidR="007242EE" w:rsidRPr="001D0846">
        <w:rPr>
          <w:rFonts w:ascii="Arial" w:hAnsi="Arial" w:cs="Arial"/>
          <w:b/>
          <w:bCs/>
          <w:color w:val="002060"/>
        </w:rPr>
        <w:tab/>
      </w:r>
    </w:p>
    <w:p w14:paraId="18EEBFDD" w14:textId="704EE357" w:rsidR="00E075A5" w:rsidRPr="001D0846" w:rsidRDefault="00E075A5" w:rsidP="00E17313">
      <w:pPr>
        <w:spacing w:line="240" w:lineRule="auto"/>
        <w:jc w:val="both"/>
        <w:rPr>
          <w:rFonts w:ascii="Arial" w:hAnsi="Arial" w:cs="Arial"/>
        </w:rPr>
      </w:pPr>
      <w:r w:rsidRPr="001D0846">
        <w:rPr>
          <w:rFonts w:ascii="Arial" w:hAnsi="Arial" w:cs="Arial"/>
        </w:rPr>
        <w:t xml:space="preserve">The </w:t>
      </w:r>
      <w:hyperlink r:id="rId8" w:history="1">
        <w:r w:rsidRPr="001D0846">
          <w:rPr>
            <w:rStyle w:val="Hyperlink"/>
            <w:rFonts w:ascii="Arial" w:hAnsi="Arial" w:cs="Arial"/>
          </w:rPr>
          <w:t>European Advertising Standards Alliance (EASA)</w:t>
        </w:r>
      </w:hyperlink>
      <w:r w:rsidRPr="001D0846">
        <w:rPr>
          <w:rFonts w:ascii="Arial" w:hAnsi="Arial" w:cs="Arial"/>
        </w:rPr>
        <w:t xml:space="preserve"> </w:t>
      </w:r>
      <w:r w:rsidR="0011654A" w:rsidRPr="001D0846">
        <w:rPr>
          <w:rFonts w:ascii="Arial" w:hAnsi="Arial" w:cs="Arial"/>
        </w:rPr>
        <w:t xml:space="preserve">and </w:t>
      </w:r>
      <w:r w:rsidR="003C3C70" w:rsidRPr="001D0846">
        <w:rPr>
          <w:rFonts w:ascii="Arial" w:hAnsi="Arial" w:cs="Arial"/>
        </w:rPr>
        <w:t xml:space="preserve">the </w:t>
      </w:r>
      <w:hyperlink r:id="rId9" w:history="1">
        <w:r w:rsidR="003C3C70" w:rsidRPr="001D0846">
          <w:rPr>
            <w:rStyle w:val="Hyperlink"/>
            <w:rFonts w:ascii="Arial" w:hAnsi="Arial" w:cs="Arial"/>
          </w:rPr>
          <w:t>World Federation of Advertisers</w:t>
        </w:r>
      </w:hyperlink>
      <w:r w:rsidR="003C3C70" w:rsidRPr="001D0846">
        <w:rPr>
          <w:rFonts w:ascii="Arial" w:hAnsi="Arial" w:cs="Arial"/>
        </w:rPr>
        <w:t xml:space="preserve"> (WFA)</w:t>
      </w:r>
      <w:r w:rsidR="0011654A" w:rsidRPr="001D0846">
        <w:rPr>
          <w:rFonts w:ascii="Arial" w:hAnsi="Arial" w:cs="Arial"/>
        </w:rPr>
        <w:t xml:space="preserve"> </w:t>
      </w:r>
      <w:r w:rsidRPr="001D0846">
        <w:rPr>
          <w:rFonts w:ascii="Arial" w:hAnsi="Arial" w:cs="Arial"/>
        </w:rPr>
        <w:t>w</w:t>
      </w:r>
      <w:r w:rsidR="00EA2640" w:rsidRPr="001D0846">
        <w:rPr>
          <w:rFonts w:ascii="Arial" w:hAnsi="Arial" w:cs="Arial"/>
        </w:rPr>
        <w:t>elcome the</w:t>
      </w:r>
      <w:r w:rsidRPr="001D0846">
        <w:rPr>
          <w:rFonts w:ascii="Arial" w:hAnsi="Arial" w:cs="Arial"/>
        </w:rPr>
        <w:t xml:space="preserve"> </w:t>
      </w:r>
      <w:r w:rsidR="00417DC6" w:rsidRPr="001D0846">
        <w:rPr>
          <w:rFonts w:ascii="Arial" w:hAnsi="Arial" w:cs="Arial"/>
        </w:rPr>
        <w:t xml:space="preserve">opportunity to submit </w:t>
      </w:r>
      <w:r w:rsidR="0011654A" w:rsidRPr="001D0846">
        <w:rPr>
          <w:rFonts w:ascii="Arial" w:hAnsi="Arial" w:cs="Arial"/>
        </w:rPr>
        <w:t>their comments</w:t>
      </w:r>
      <w:r w:rsidR="00417DC6" w:rsidRPr="001D0846">
        <w:rPr>
          <w:rFonts w:ascii="Arial" w:hAnsi="Arial" w:cs="Arial"/>
        </w:rPr>
        <w:t xml:space="preserve"> </w:t>
      </w:r>
      <w:r w:rsidR="00FB5283">
        <w:rPr>
          <w:rFonts w:ascii="Arial" w:hAnsi="Arial" w:cs="Arial"/>
        </w:rPr>
        <w:t>to</w:t>
      </w:r>
      <w:r w:rsidR="00417DC6" w:rsidRPr="001D0846">
        <w:rPr>
          <w:rFonts w:ascii="Arial" w:hAnsi="Arial" w:cs="Arial"/>
        </w:rPr>
        <w:t xml:space="preserve"> the open consultation </w:t>
      </w:r>
      <w:r w:rsidR="00970CE9" w:rsidRPr="001D0846">
        <w:rPr>
          <w:rFonts w:ascii="Arial" w:hAnsi="Arial" w:cs="Arial"/>
        </w:rPr>
        <w:t>for</w:t>
      </w:r>
      <w:r w:rsidR="00417DC6" w:rsidRPr="001D0846">
        <w:rPr>
          <w:rFonts w:ascii="Arial" w:hAnsi="Arial" w:cs="Arial"/>
        </w:rPr>
        <w:t xml:space="preserve"> the </w:t>
      </w:r>
      <w:r w:rsidRPr="001D0846">
        <w:rPr>
          <w:rFonts w:ascii="Arial" w:hAnsi="Arial" w:cs="Arial"/>
        </w:rPr>
        <w:t>proposal to revise the Estonian Advertising Act</w:t>
      </w:r>
      <w:r w:rsidR="00EA2640" w:rsidRPr="001D0846">
        <w:rPr>
          <w:rFonts w:ascii="Arial" w:hAnsi="Arial" w:cs="Arial"/>
        </w:rPr>
        <w:t xml:space="preserve">. </w:t>
      </w:r>
      <w:r w:rsidR="0011654A" w:rsidRPr="001D0846">
        <w:rPr>
          <w:rFonts w:ascii="Arial" w:hAnsi="Arial" w:cs="Arial"/>
        </w:rPr>
        <w:t xml:space="preserve">Collective </w:t>
      </w:r>
      <w:r w:rsidR="00F87B3D" w:rsidRPr="001D0846">
        <w:rPr>
          <w:rFonts w:ascii="Arial" w:hAnsi="Arial" w:cs="Arial"/>
        </w:rPr>
        <w:t>advertising self-regulation</w:t>
      </w:r>
      <w:r w:rsidR="0011654A" w:rsidRPr="001D0846">
        <w:rPr>
          <w:rFonts w:ascii="Arial" w:hAnsi="Arial" w:cs="Arial"/>
        </w:rPr>
        <w:t xml:space="preserve"> benefits</w:t>
      </w:r>
      <w:r w:rsidR="00F87B3D" w:rsidRPr="001D0846">
        <w:rPr>
          <w:rFonts w:ascii="Arial" w:hAnsi="Arial" w:cs="Arial"/>
        </w:rPr>
        <w:t xml:space="preserve"> </w:t>
      </w:r>
      <w:r w:rsidR="00152651">
        <w:rPr>
          <w:rFonts w:ascii="Arial" w:hAnsi="Arial" w:cs="Arial"/>
        </w:rPr>
        <w:t xml:space="preserve">consumers, </w:t>
      </w:r>
      <w:proofErr w:type="gramStart"/>
      <w:r w:rsidR="00FB5283">
        <w:rPr>
          <w:rFonts w:ascii="Arial" w:hAnsi="Arial" w:cs="Arial"/>
        </w:rPr>
        <w:t>policymakers</w:t>
      </w:r>
      <w:proofErr w:type="gramEnd"/>
      <w:r w:rsidR="00152651">
        <w:rPr>
          <w:rFonts w:ascii="Arial" w:hAnsi="Arial" w:cs="Arial"/>
        </w:rPr>
        <w:t xml:space="preserve"> and the whole ecosystem</w:t>
      </w:r>
      <w:r w:rsidR="00F87B3D" w:rsidRPr="001D0846">
        <w:rPr>
          <w:rFonts w:ascii="Arial" w:hAnsi="Arial" w:cs="Arial"/>
        </w:rPr>
        <w:t>,</w:t>
      </w:r>
      <w:r w:rsidR="0011654A" w:rsidRPr="001D0846">
        <w:rPr>
          <w:rFonts w:ascii="Arial" w:hAnsi="Arial" w:cs="Arial"/>
        </w:rPr>
        <w:t xml:space="preserve"> including </w:t>
      </w:r>
      <w:r w:rsidR="00152651">
        <w:rPr>
          <w:rFonts w:ascii="Arial" w:hAnsi="Arial" w:cs="Arial"/>
        </w:rPr>
        <w:t xml:space="preserve">chiefly </w:t>
      </w:r>
      <w:r w:rsidR="0011654A" w:rsidRPr="001D0846">
        <w:rPr>
          <w:rFonts w:ascii="Arial" w:hAnsi="Arial" w:cs="Arial"/>
        </w:rPr>
        <w:t>advertisers</w:t>
      </w:r>
      <w:r w:rsidR="00F87B3D" w:rsidRPr="001D0846">
        <w:rPr>
          <w:rFonts w:ascii="Arial" w:hAnsi="Arial" w:cs="Arial"/>
        </w:rPr>
        <w:t xml:space="preserve"> </w:t>
      </w:r>
      <w:r w:rsidR="0011654A" w:rsidRPr="001D0846">
        <w:rPr>
          <w:rFonts w:ascii="Arial" w:hAnsi="Arial" w:cs="Arial"/>
        </w:rPr>
        <w:t xml:space="preserve">which </w:t>
      </w:r>
      <w:r w:rsidR="00F87B3D" w:rsidRPr="001D0846">
        <w:rPr>
          <w:rFonts w:ascii="Arial" w:hAnsi="Arial" w:cs="Arial"/>
        </w:rPr>
        <w:t xml:space="preserve">are </w:t>
      </w:r>
      <w:r w:rsidR="0011654A" w:rsidRPr="001D0846">
        <w:rPr>
          <w:rFonts w:ascii="Arial" w:hAnsi="Arial" w:cs="Arial"/>
        </w:rPr>
        <w:t>represent</w:t>
      </w:r>
      <w:r w:rsidR="00F87B3D" w:rsidRPr="001D0846">
        <w:rPr>
          <w:rFonts w:ascii="Arial" w:hAnsi="Arial" w:cs="Arial"/>
        </w:rPr>
        <w:t>ed by WFA</w:t>
      </w:r>
      <w:r w:rsidR="00FB5283">
        <w:rPr>
          <w:rFonts w:ascii="Arial" w:hAnsi="Arial" w:cs="Arial"/>
        </w:rPr>
        <w:t>,</w:t>
      </w:r>
      <w:r w:rsidR="00F87B3D" w:rsidRPr="001D0846">
        <w:rPr>
          <w:rFonts w:ascii="Arial" w:hAnsi="Arial" w:cs="Arial"/>
        </w:rPr>
        <w:t xml:space="preserve"> encompassing</w:t>
      </w:r>
      <w:r w:rsidR="0011654A" w:rsidRPr="001D0846">
        <w:rPr>
          <w:rFonts w:ascii="Arial" w:hAnsi="Arial" w:cs="Arial"/>
        </w:rPr>
        <w:t xml:space="preserve"> brands and national advertiser associations such as TULI</w:t>
      </w:r>
      <w:r w:rsidR="00F87B3D" w:rsidRPr="001D0846">
        <w:rPr>
          <w:rFonts w:ascii="Arial" w:hAnsi="Arial" w:cs="Arial"/>
        </w:rPr>
        <w:t>,</w:t>
      </w:r>
      <w:r w:rsidR="0011654A" w:rsidRPr="001D0846">
        <w:rPr>
          <w:rFonts w:ascii="Arial" w:hAnsi="Arial" w:cs="Arial"/>
        </w:rPr>
        <w:t xml:space="preserve"> which has been </w:t>
      </w:r>
      <w:r w:rsidR="00F87B3D" w:rsidRPr="001D0846">
        <w:rPr>
          <w:rFonts w:ascii="Arial" w:hAnsi="Arial" w:cs="Arial"/>
        </w:rPr>
        <w:t xml:space="preserve">a member of WFA since </w:t>
      </w:r>
      <w:r w:rsidR="003C3C70" w:rsidRPr="001D0846">
        <w:rPr>
          <w:rFonts w:ascii="Arial" w:hAnsi="Arial" w:cs="Arial"/>
        </w:rPr>
        <w:t>2020</w:t>
      </w:r>
      <w:r w:rsidR="0011654A" w:rsidRPr="001D0846">
        <w:rPr>
          <w:rFonts w:ascii="Arial" w:hAnsi="Arial" w:cs="Arial"/>
        </w:rPr>
        <w:t xml:space="preserve">. EASA and WFA strongly support the proposal to revise the Advertising Act in the establishment of a local self-regulatory system for advertising and </w:t>
      </w:r>
      <w:r w:rsidR="00F87B3D" w:rsidRPr="001D0846">
        <w:rPr>
          <w:rFonts w:ascii="Arial" w:hAnsi="Arial" w:cs="Arial"/>
        </w:rPr>
        <w:t>of an organisation which will help ensure high ad content standards and foster consumer trust.</w:t>
      </w:r>
    </w:p>
    <w:p w14:paraId="7C876FF3" w14:textId="52B2B3E9" w:rsidR="0068215B" w:rsidRPr="001D0846" w:rsidRDefault="00BA05CE" w:rsidP="00E17313">
      <w:pPr>
        <w:spacing w:line="240" w:lineRule="auto"/>
        <w:jc w:val="both"/>
        <w:rPr>
          <w:rFonts w:ascii="Arial" w:hAnsi="Arial" w:cs="Arial"/>
          <w:b/>
          <w:bCs/>
        </w:rPr>
      </w:pPr>
      <w:r w:rsidRPr="001D0846">
        <w:rPr>
          <w:rFonts w:ascii="Arial" w:hAnsi="Arial" w:cs="Arial"/>
          <w:b/>
          <w:bCs/>
        </w:rPr>
        <w:t>Collective</w:t>
      </w:r>
      <w:r w:rsidR="0068215B" w:rsidRPr="001D0846">
        <w:rPr>
          <w:rFonts w:ascii="Arial" w:hAnsi="Arial" w:cs="Arial"/>
          <w:b/>
          <w:bCs/>
        </w:rPr>
        <w:t xml:space="preserve"> advertising self-regulation</w:t>
      </w:r>
      <w:r w:rsidRPr="001D0846">
        <w:rPr>
          <w:rFonts w:ascii="Arial" w:hAnsi="Arial" w:cs="Arial"/>
          <w:b/>
          <w:bCs/>
        </w:rPr>
        <w:t xml:space="preserve"> is good for consumers, businesses, and policy</w:t>
      </w:r>
      <w:r w:rsidR="00362D4E">
        <w:rPr>
          <w:rFonts w:ascii="Arial" w:hAnsi="Arial" w:cs="Arial"/>
          <w:b/>
          <w:bCs/>
        </w:rPr>
        <w:t>-</w:t>
      </w:r>
      <w:proofErr w:type="gramStart"/>
      <w:r w:rsidRPr="001D0846">
        <w:rPr>
          <w:rFonts w:ascii="Arial" w:hAnsi="Arial" w:cs="Arial"/>
          <w:b/>
          <w:bCs/>
        </w:rPr>
        <w:t>makers</w:t>
      </w:r>
      <w:proofErr w:type="gramEnd"/>
    </w:p>
    <w:p w14:paraId="0C02292B" w14:textId="0F7C1809" w:rsidR="0037463C" w:rsidRPr="001D0846" w:rsidRDefault="0068215B" w:rsidP="00E17313">
      <w:pPr>
        <w:spacing w:line="240" w:lineRule="auto"/>
        <w:jc w:val="both"/>
        <w:rPr>
          <w:rFonts w:ascii="Arial" w:hAnsi="Arial" w:cs="Arial"/>
        </w:rPr>
      </w:pPr>
      <w:r w:rsidRPr="001D0846">
        <w:rPr>
          <w:rFonts w:ascii="Arial" w:hAnsi="Arial" w:cs="Arial"/>
        </w:rPr>
        <w:t>Consumer trust in advertising content is paramount for the sustainability and reputation of the brand and its effective advertising. To this end, members of the advertising and marketing community recognise that advertising practices must be responsible.</w:t>
      </w:r>
      <w:r w:rsidR="00BA05CE" w:rsidRPr="001D0846">
        <w:rPr>
          <w:rFonts w:ascii="Arial" w:hAnsi="Arial" w:cs="Arial"/>
        </w:rPr>
        <w:t xml:space="preserve"> Since 1937,</w:t>
      </w:r>
      <w:r w:rsidR="007242EE" w:rsidRPr="001D0846">
        <w:rPr>
          <w:rFonts w:ascii="Arial" w:hAnsi="Arial" w:cs="Arial"/>
        </w:rPr>
        <w:t xml:space="preserve"> the International Chamber of Commerce’s (ICC) </w:t>
      </w:r>
      <w:hyperlink r:id="rId10" w:history="1">
        <w:r w:rsidR="007242EE" w:rsidRPr="001D0846">
          <w:rPr>
            <w:rStyle w:val="Hyperlink"/>
            <w:rFonts w:ascii="Arial" w:hAnsi="Arial" w:cs="Arial"/>
          </w:rPr>
          <w:t>Advertising and Marketing Communications Code</w:t>
        </w:r>
      </w:hyperlink>
      <w:r w:rsidR="007242EE" w:rsidRPr="001D0846">
        <w:rPr>
          <w:rFonts w:ascii="Arial" w:hAnsi="Arial" w:cs="Arial"/>
        </w:rPr>
        <w:t xml:space="preserve"> serves as the foundation for national codes of conduct around the world. </w:t>
      </w:r>
      <w:r w:rsidR="0037463C" w:rsidRPr="001D0846">
        <w:rPr>
          <w:rFonts w:ascii="Arial" w:hAnsi="Arial" w:cs="Arial"/>
        </w:rPr>
        <w:t>It is the</w:t>
      </w:r>
      <w:r w:rsidR="00BA05CE" w:rsidRPr="001D0846">
        <w:rPr>
          <w:rFonts w:ascii="Arial" w:hAnsi="Arial" w:cs="Arial"/>
        </w:rPr>
        <w:t xml:space="preserve"> cornerstone of local</w:t>
      </w:r>
      <w:r w:rsidR="007242EE" w:rsidRPr="001D0846">
        <w:rPr>
          <w:rFonts w:ascii="Arial" w:hAnsi="Arial" w:cs="Arial"/>
        </w:rPr>
        <w:t xml:space="preserve"> advertising self-regulatory systems</w:t>
      </w:r>
      <w:r w:rsidR="00BA05CE" w:rsidRPr="001D0846">
        <w:rPr>
          <w:rFonts w:ascii="Arial" w:hAnsi="Arial" w:cs="Arial"/>
        </w:rPr>
        <w:t xml:space="preserve">, </w:t>
      </w:r>
      <w:r w:rsidR="007242EE" w:rsidRPr="001D0846">
        <w:rPr>
          <w:rFonts w:ascii="Arial" w:hAnsi="Arial" w:cs="Arial"/>
        </w:rPr>
        <w:t xml:space="preserve">which </w:t>
      </w:r>
      <w:r w:rsidR="00BA05CE" w:rsidRPr="001D0846">
        <w:rPr>
          <w:rFonts w:ascii="Arial" w:hAnsi="Arial" w:cs="Arial"/>
        </w:rPr>
        <w:t xml:space="preserve">bring together the entire </w:t>
      </w:r>
      <w:r w:rsidR="0037463C" w:rsidRPr="001D0846">
        <w:rPr>
          <w:rFonts w:ascii="Arial" w:hAnsi="Arial" w:cs="Arial"/>
        </w:rPr>
        <w:t>local</w:t>
      </w:r>
      <w:r w:rsidR="00BA05CE" w:rsidRPr="001D0846">
        <w:rPr>
          <w:rFonts w:ascii="Arial" w:hAnsi="Arial" w:cs="Arial"/>
        </w:rPr>
        <w:t xml:space="preserve"> responsible ad</w:t>
      </w:r>
      <w:r w:rsidR="0037463C" w:rsidRPr="001D0846">
        <w:rPr>
          <w:rFonts w:ascii="Arial" w:hAnsi="Arial" w:cs="Arial"/>
        </w:rPr>
        <w:t>vertising</w:t>
      </w:r>
      <w:r w:rsidR="00BA05CE" w:rsidRPr="001D0846">
        <w:rPr>
          <w:rFonts w:ascii="Arial" w:hAnsi="Arial" w:cs="Arial"/>
        </w:rPr>
        <w:t xml:space="preserve"> community </w:t>
      </w:r>
      <w:r w:rsidR="007242EE" w:rsidRPr="001D0846">
        <w:rPr>
          <w:rFonts w:ascii="Arial" w:hAnsi="Arial" w:cs="Arial"/>
        </w:rPr>
        <w:t xml:space="preserve">and </w:t>
      </w:r>
      <w:r w:rsidR="00BA05CE" w:rsidRPr="001D0846">
        <w:rPr>
          <w:rFonts w:ascii="Arial" w:hAnsi="Arial" w:cs="Arial"/>
        </w:rPr>
        <w:t>are recognised by national and European law</w:t>
      </w:r>
      <w:r w:rsidR="0037463C" w:rsidRPr="001D0846">
        <w:rPr>
          <w:rFonts w:ascii="Arial" w:hAnsi="Arial" w:cs="Arial"/>
        </w:rPr>
        <w:t>,</w:t>
      </w:r>
      <w:r w:rsidR="00BA05CE" w:rsidRPr="001D0846">
        <w:rPr>
          <w:rFonts w:ascii="Arial" w:hAnsi="Arial" w:cs="Arial"/>
        </w:rPr>
        <w:t xml:space="preserve"> such as </w:t>
      </w:r>
      <w:r w:rsidR="0037463C" w:rsidRPr="001D0846">
        <w:rPr>
          <w:rFonts w:ascii="Arial" w:hAnsi="Arial" w:cs="Arial"/>
        </w:rPr>
        <w:t>the AVMSD</w:t>
      </w:r>
      <w:r w:rsidR="0037463C" w:rsidRPr="001D0846">
        <w:rPr>
          <w:rStyle w:val="FootnoteReference"/>
          <w:rFonts w:ascii="Arial" w:hAnsi="Arial" w:cs="Arial"/>
        </w:rPr>
        <w:footnoteReference w:id="1"/>
      </w:r>
      <w:r w:rsidR="0037463C" w:rsidRPr="001D0846">
        <w:rPr>
          <w:rFonts w:ascii="Arial" w:hAnsi="Arial" w:cs="Arial"/>
        </w:rPr>
        <w:t xml:space="preserve"> and the UCPD Guidance</w:t>
      </w:r>
      <w:r w:rsidR="0037463C" w:rsidRPr="001D0846">
        <w:rPr>
          <w:rStyle w:val="FootnoteReference"/>
          <w:rFonts w:ascii="Arial" w:hAnsi="Arial" w:cs="Arial"/>
        </w:rPr>
        <w:footnoteReference w:id="2"/>
      </w:r>
      <w:r w:rsidR="00B05667" w:rsidRPr="001D0846">
        <w:rPr>
          <w:rFonts w:ascii="Arial" w:hAnsi="Arial" w:cs="Arial"/>
        </w:rPr>
        <w:t>.</w:t>
      </w:r>
      <w:r w:rsidR="0037463C" w:rsidRPr="001D0846">
        <w:rPr>
          <w:rFonts w:ascii="Arial" w:hAnsi="Arial" w:cs="Arial"/>
        </w:rPr>
        <w:t xml:space="preserve"> </w:t>
      </w:r>
    </w:p>
    <w:p w14:paraId="3A8AD197" w14:textId="43B7549E" w:rsidR="00BA05CE" w:rsidRPr="001D0846" w:rsidRDefault="00346BC5" w:rsidP="00E17313">
      <w:pPr>
        <w:spacing w:line="240" w:lineRule="auto"/>
        <w:jc w:val="both"/>
        <w:rPr>
          <w:rFonts w:ascii="Arial" w:hAnsi="Arial" w:cs="Arial"/>
        </w:rPr>
      </w:pPr>
      <w:r w:rsidRPr="001D0846">
        <w:rPr>
          <w:rFonts w:ascii="Arial" w:hAnsi="Arial" w:cs="Arial"/>
        </w:rPr>
        <w:t>Ad self-regulation</w:t>
      </w:r>
      <w:r w:rsidR="00BA05CE" w:rsidRPr="001D0846">
        <w:rPr>
          <w:rFonts w:ascii="Arial" w:hAnsi="Arial" w:cs="Arial"/>
        </w:rPr>
        <w:t xml:space="preserve"> is also good for businesses, as it contributes to brand reputation and guarantees an impartial and level-playing field. It</w:t>
      </w:r>
      <w:r w:rsidR="00B05667" w:rsidRPr="001D0846">
        <w:rPr>
          <w:rFonts w:ascii="Arial" w:hAnsi="Arial" w:cs="Arial"/>
        </w:rPr>
        <w:t xml:space="preserve"> also empowers policymakers to ensure that the advertising industry continues to be aligned with public interests, reduce administrative burdens and drive jobs and employment. Moreover, it enables brands to ensure their marketing communications are aligned with industry best practice and the evolving expectations of consumers, ultimately supporting brands in their responsible marketing efforts.</w:t>
      </w:r>
    </w:p>
    <w:p w14:paraId="49B454E0" w14:textId="512EF0C3" w:rsidR="001D0846" w:rsidRDefault="00BA05CE" w:rsidP="00E17313">
      <w:pPr>
        <w:spacing w:line="240" w:lineRule="auto"/>
        <w:jc w:val="both"/>
        <w:rPr>
          <w:rFonts w:ascii="Arial" w:hAnsi="Arial" w:cs="Arial"/>
        </w:rPr>
      </w:pPr>
      <w:r w:rsidRPr="001D0846">
        <w:rPr>
          <w:rFonts w:ascii="Arial" w:hAnsi="Arial" w:cs="Arial"/>
        </w:rPr>
        <w:t xml:space="preserve">EASA’s network is </w:t>
      </w:r>
      <w:r w:rsidR="00346BC5" w:rsidRPr="001D0846">
        <w:rPr>
          <w:rFonts w:ascii="Arial" w:hAnsi="Arial" w:cs="Arial"/>
        </w:rPr>
        <w:t>actively developing prevention solutions, including training programmes</w:t>
      </w:r>
      <w:r w:rsidR="004160A9" w:rsidRPr="001D0846">
        <w:rPr>
          <w:rFonts w:ascii="Arial" w:hAnsi="Arial" w:cs="Arial"/>
        </w:rPr>
        <w:t xml:space="preserve">, </w:t>
      </w:r>
      <w:r w:rsidR="00346BC5" w:rsidRPr="001D0846">
        <w:rPr>
          <w:rFonts w:ascii="Arial" w:hAnsi="Arial" w:cs="Arial"/>
        </w:rPr>
        <w:t xml:space="preserve">copy </w:t>
      </w:r>
      <w:r w:rsidR="004160A9" w:rsidRPr="001D0846">
        <w:rPr>
          <w:rFonts w:ascii="Arial" w:hAnsi="Arial" w:cs="Arial"/>
        </w:rPr>
        <w:t>advice</w:t>
      </w:r>
      <w:r w:rsidR="008E7360" w:rsidRPr="001D0846">
        <w:rPr>
          <w:rStyle w:val="FootnoteReference"/>
          <w:rFonts w:ascii="Arial" w:hAnsi="Arial" w:cs="Arial"/>
        </w:rPr>
        <w:footnoteReference w:id="3"/>
      </w:r>
      <w:r w:rsidR="004160A9" w:rsidRPr="001D0846">
        <w:rPr>
          <w:rFonts w:ascii="Arial" w:hAnsi="Arial" w:cs="Arial"/>
        </w:rPr>
        <w:t>, and revising their Codes</w:t>
      </w:r>
      <w:r w:rsidR="00346BC5" w:rsidRPr="001D0846">
        <w:rPr>
          <w:rFonts w:ascii="Arial" w:hAnsi="Arial" w:cs="Arial"/>
        </w:rPr>
        <w:t>,</w:t>
      </w:r>
      <w:r w:rsidRPr="001D0846">
        <w:rPr>
          <w:rFonts w:ascii="Arial" w:hAnsi="Arial" w:cs="Arial"/>
        </w:rPr>
        <w:t xml:space="preserve"> </w:t>
      </w:r>
      <w:r w:rsidR="00346BC5" w:rsidRPr="001D0846">
        <w:rPr>
          <w:rFonts w:ascii="Arial" w:hAnsi="Arial" w:cs="Arial"/>
        </w:rPr>
        <w:t xml:space="preserve">touching on </w:t>
      </w:r>
      <w:r w:rsidRPr="001D0846">
        <w:rPr>
          <w:rFonts w:ascii="Arial" w:hAnsi="Arial" w:cs="Arial"/>
        </w:rPr>
        <w:t xml:space="preserve">many areas </w:t>
      </w:r>
      <w:r w:rsidR="004160A9" w:rsidRPr="001D0846">
        <w:rPr>
          <w:rFonts w:ascii="Arial" w:hAnsi="Arial" w:cs="Arial"/>
        </w:rPr>
        <w:t>such as</w:t>
      </w:r>
      <w:r w:rsidRPr="001D0846">
        <w:rPr>
          <w:rFonts w:ascii="Arial" w:hAnsi="Arial" w:cs="Arial"/>
        </w:rPr>
        <w:t>, among others, influencer marketing</w:t>
      </w:r>
      <w:r w:rsidR="006A4942" w:rsidRPr="001D0846">
        <w:rPr>
          <w:rFonts w:ascii="Arial" w:hAnsi="Arial" w:cs="Arial"/>
        </w:rPr>
        <w:t xml:space="preserve">, </w:t>
      </w:r>
      <w:r w:rsidRPr="001D0846">
        <w:rPr>
          <w:rFonts w:ascii="Arial" w:hAnsi="Arial" w:cs="Arial"/>
        </w:rPr>
        <w:t>green claims</w:t>
      </w:r>
      <w:r w:rsidR="006A4942" w:rsidRPr="001D0846">
        <w:rPr>
          <w:rFonts w:ascii="Arial" w:hAnsi="Arial" w:cs="Arial"/>
        </w:rPr>
        <w:t xml:space="preserve">, </w:t>
      </w:r>
      <w:r w:rsidRPr="001D0846">
        <w:rPr>
          <w:rFonts w:ascii="Arial" w:hAnsi="Arial" w:cs="Arial"/>
        </w:rPr>
        <w:t>and</w:t>
      </w:r>
      <w:r w:rsidR="00346BC5" w:rsidRPr="001D0846">
        <w:rPr>
          <w:rFonts w:ascii="Arial" w:hAnsi="Arial" w:cs="Arial"/>
        </w:rPr>
        <w:t xml:space="preserve"> advertising to children</w:t>
      </w:r>
      <w:r w:rsidRPr="001D0846">
        <w:rPr>
          <w:rFonts w:ascii="Arial" w:hAnsi="Arial" w:cs="Arial"/>
        </w:rPr>
        <w:t>. As part of their core system, SROs handle an average of 60.000 complaints per year and assess roughly 160.000 ads annually before publication.</w:t>
      </w:r>
      <w:r w:rsidR="00EE0334" w:rsidRPr="001D0846">
        <w:rPr>
          <w:rStyle w:val="FootnoteReference"/>
          <w:rFonts w:ascii="Arial" w:hAnsi="Arial" w:cs="Arial"/>
        </w:rPr>
        <w:footnoteReference w:id="4"/>
      </w:r>
      <w:r w:rsidRPr="001D0846">
        <w:rPr>
          <w:rFonts w:ascii="Arial" w:hAnsi="Arial" w:cs="Arial"/>
        </w:rPr>
        <w:t xml:space="preserve"> Since 2020, 13 SROs have invested in developing or using </w:t>
      </w:r>
      <w:hyperlink r:id="rId11" w:history="1">
        <w:r w:rsidRPr="001D0846">
          <w:rPr>
            <w:rStyle w:val="Hyperlink"/>
            <w:rFonts w:ascii="Arial" w:hAnsi="Arial" w:cs="Arial"/>
          </w:rPr>
          <w:t>data-driven or AI tools</w:t>
        </w:r>
      </w:hyperlink>
      <w:r w:rsidRPr="001D0846">
        <w:rPr>
          <w:rFonts w:ascii="Arial" w:hAnsi="Arial" w:cs="Arial"/>
        </w:rPr>
        <w:t xml:space="preserve"> to monitor online ads at scale.</w:t>
      </w:r>
      <w:r w:rsidR="0041028B" w:rsidRPr="001D0846">
        <w:rPr>
          <w:rStyle w:val="FootnoteReference"/>
          <w:rFonts w:ascii="Arial" w:hAnsi="Arial" w:cs="Arial"/>
        </w:rPr>
        <w:footnoteReference w:id="5"/>
      </w:r>
      <w:r w:rsidRPr="001D0846">
        <w:rPr>
          <w:rFonts w:ascii="Arial" w:hAnsi="Arial" w:cs="Arial"/>
        </w:rPr>
        <w:t xml:space="preserve"> </w:t>
      </w:r>
      <w:r w:rsidR="00651AD4" w:rsidRPr="001D0846">
        <w:rPr>
          <w:rFonts w:ascii="Arial" w:hAnsi="Arial" w:cs="Arial"/>
        </w:rPr>
        <w:t>The SRO also carry independent sectoral monitoring exercises, for example on food</w:t>
      </w:r>
      <w:r w:rsidR="00251298" w:rsidRPr="001D0846">
        <w:rPr>
          <w:rFonts w:ascii="Arial" w:hAnsi="Arial" w:cs="Arial"/>
        </w:rPr>
        <w:t xml:space="preserve">, such as the </w:t>
      </w:r>
      <w:hyperlink r:id="rId12" w:history="1">
        <w:r w:rsidR="00DF71E2" w:rsidRPr="001D0846">
          <w:rPr>
            <w:rStyle w:val="Hyperlink"/>
            <w:rFonts w:ascii="Arial" w:hAnsi="Arial" w:cs="Arial"/>
          </w:rPr>
          <w:t>EU Pledge</w:t>
        </w:r>
      </w:hyperlink>
      <w:r w:rsidR="001D0846" w:rsidRPr="001D0846">
        <w:rPr>
          <w:rStyle w:val="FootnoteReference"/>
          <w:rFonts w:ascii="Arial" w:hAnsi="Arial" w:cs="Arial"/>
        </w:rPr>
        <w:footnoteReference w:id="6"/>
      </w:r>
      <w:r w:rsidR="00DF71E2" w:rsidRPr="001D0846">
        <w:rPr>
          <w:rFonts w:ascii="Arial" w:hAnsi="Arial" w:cs="Arial"/>
        </w:rPr>
        <w:t xml:space="preserve">, </w:t>
      </w:r>
      <w:r w:rsidR="00251298" w:rsidRPr="001D0846">
        <w:rPr>
          <w:rFonts w:ascii="Arial" w:hAnsi="Arial" w:cs="Arial"/>
        </w:rPr>
        <w:t>a commitment by leading food and beverage producers to change what they advertise to children across Europe.</w:t>
      </w:r>
      <w:r w:rsidR="00651AD4" w:rsidRPr="001D0846">
        <w:rPr>
          <w:rFonts w:ascii="Arial" w:hAnsi="Arial" w:cs="Arial"/>
        </w:rPr>
        <w:t xml:space="preserve"> </w:t>
      </w:r>
      <w:r w:rsidR="00DF71E2" w:rsidRPr="001D0846">
        <w:rPr>
          <w:rFonts w:ascii="Arial" w:hAnsi="Arial" w:cs="Arial"/>
        </w:rPr>
        <w:t xml:space="preserve">In 2021, an audit by SROs and </w:t>
      </w:r>
      <w:proofErr w:type="spellStart"/>
      <w:r w:rsidR="00DF71E2" w:rsidRPr="001D0846">
        <w:rPr>
          <w:rFonts w:ascii="Arial" w:hAnsi="Arial" w:cs="Arial"/>
        </w:rPr>
        <w:t>Ebiquity</w:t>
      </w:r>
      <w:proofErr w:type="spellEnd"/>
      <w:r w:rsidR="00DF71E2" w:rsidRPr="001D0846">
        <w:rPr>
          <w:rFonts w:ascii="Arial" w:hAnsi="Arial" w:cs="Arial"/>
        </w:rPr>
        <w:t xml:space="preserve"> found that 96,49% of all websites and 96,53% of social media profiles were compliant with the EU Pledge commitments. Another industry initiative which is regularly monitored by SROs is the </w:t>
      </w:r>
      <w:hyperlink r:id="rId13" w:history="1">
        <w:r w:rsidR="00DF71E2" w:rsidRPr="001D0846">
          <w:rPr>
            <w:rStyle w:val="Hyperlink"/>
            <w:rFonts w:ascii="Arial" w:hAnsi="Arial" w:cs="Arial"/>
          </w:rPr>
          <w:t>Responsible Marketing Pact</w:t>
        </w:r>
      </w:hyperlink>
      <w:r w:rsidR="00DF71E2" w:rsidRPr="001D0846">
        <w:rPr>
          <w:rFonts w:ascii="Arial" w:hAnsi="Arial" w:cs="Arial"/>
        </w:rPr>
        <w:t xml:space="preserve"> (RMP), which aims at eliminating exposure of minors to alcohol advertising.</w:t>
      </w:r>
      <w:r w:rsidR="00251298" w:rsidRPr="001D0846">
        <w:rPr>
          <w:rFonts w:ascii="Arial" w:hAnsi="Arial" w:cs="Arial"/>
        </w:rPr>
        <w:t xml:space="preserve"> The latest monitoring exercise by </w:t>
      </w:r>
    </w:p>
    <w:p w14:paraId="0B2605E4" w14:textId="77777777" w:rsidR="001D0846" w:rsidRDefault="001D0846" w:rsidP="00E17313">
      <w:pPr>
        <w:spacing w:line="240" w:lineRule="auto"/>
        <w:jc w:val="both"/>
        <w:rPr>
          <w:rFonts w:ascii="Arial" w:hAnsi="Arial" w:cs="Arial"/>
        </w:rPr>
      </w:pPr>
    </w:p>
    <w:p w14:paraId="7BBE0A9A" w14:textId="77777777" w:rsidR="001D0846" w:rsidRDefault="001D0846" w:rsidP="00E17313">
      <w:pPr>
        <w:spacing w:line="240" w:lineRule="auto"/>
        <w:jc w:val="both"/>
        <w:rPr>
          <w:rFonts w:ascii="Arial" w:hAnsi="Arial" w:cs="Arial"/>
        </w:rPr>
      </w:pPr>
    </w:p>
    <w:p w14:paraId="3D534669" w14:textId="77777777" w:rsidR="001D0846" w:rsidRDefault="001D0846" w:rsidP="00E17313">
      <w:pPr>
        <w:spacing w:line="240" w:lineRule="auto"/>
        <w:jc w:val="both"/>
        <w:rPr>
          <w:rFonts w:ascii="Arial" w:hAnsi="Arial" w:cs="Arial"/>
        </w:rPr>
      </w:pPr>
    </w:p>
    <w:p w14:paraId="0FA2B6A0" w14:textId="77777777" w:rsidR="001D0846" w:rsidRDefault="001D0846" w:rsidP="00E17313">
      <w:pPr>
        <w:spacing w:line="240" w:lineRule="auto"/>
        <w:jc w:val="both"/>
        <w:rPr>
          <w:rFonts w:ascii="Arial" w:hAnsi="Arial" w:cs="Arial"/>
        </w:rPr>
      </w:pPr>
    </w:p>
    <w:p w14:paraId="2E0BEC80" w14:textId="74EF7220" w:rsidR="00251298" w:rsidRPr="001D0846" w:rsidRDefault="00251298" w:rsidP="00E17313">
      <w:pPr>
        <w:spacing w:line="240" w:lineRule="auto"/>
        <w:jc w:val="both"/>
        <w:rPr>
          <w:rFonts w:ascii="Arial" w:hAnsi="Arial" w:cs="Arial"/>
        </w:rPr>
      </w:pPr>
      <w:r w:rsidRPr="001D0846">
        <w:rPr>
          <w:rFonts w:ascii="Arial" w:hAnsi="Arial" w:cs="Arial"/>
        </w:rPr>
        <w:t xml:space="preserve">SROs looked at the creative execution of alcohol ads and found that 99% of alcohol advertising monitored was compliant with the rules on avoiding any appeal to minors. </w:t>
      </w:r>
    </w:p>
    <w:p w14:paraId="43975D31" w14:textId="6EA7F02E" w:rsidR="007242EE" w:rsidRPr="001D0846" w:rsidRDefault="00BA05CE" w:rsidP="00E17313">
      <w:pPr>
        <w:spacing w:line="240" w:lineRule="auto"/>
        <w:jc w:val="both"/>
        <w:rPr>
          <w:rFonts w:ascii="Arial" w:hAnsi="Arial" w:cs="Arial"/>
        </w:rPr>
      </w:pPr>
      <w:r w:rsidRPr="001D0846">
        <w:rPr>
          <w:rFonts w:ascii="Arial" w:hAnsi="Arial" w:cs="Arial"/>
        </w:rPr>
        <w:t>This system of collective advertising self-regulation</w:t>
      </w:r>
      <w:r w:rsidR="00A42730" w:rsidRPr="001D0846">
        <w:rPr>
          <w:rStyle w:val="FootnoteReference"/>
          <w:rFonts w:ascii="Arial" w:hAnsi="Arial" w:cs="Arial"/>
        </w:rPr>
        <w:footnoteReference w:id="7"/>
      </w:r>
      <w:r w:rsidRPr="001D0846">
        <w:rPr>
          <w:rFonts w:ascii="Arial" w:hAnsi="Arial" w:cs="Arial"/>
        </w:rPr>
        <w:t xml:space="preserve"> is nimble and good for consumers, through its quick and efficient response and its ability to swiftly address</w:t>
      </w:r>
      <w:r w:rsidR="00251298" w:rsidRPr="001D0846">
        <w:rPr>
          <w:rFonts w:ascii="Arial" w:hAnsi="Arial" w:cs="Arial"/>
        </w:rPr>
        <w:t xml:space="preserve"> </w:t>
      </w:r>
      <w:r w:rsidRPr="001D0846">
        <w:rPr>
          <w:rFonts w:ascii="Arial" w:hAnsi="Arial" w:cs="Arial"/>
        </w:rPr>
        <w:t xml:space="preserve">societal developments. </w:t>
      </w:r>
      <w:r w:rsidR="007242EE" w:rsidRPr="001D0846">
        <w:rPr>
          <w:rFonts w:ascii="Arial" w:hAnsi="Arial" w:cs="Arial"/>
        </w:rPr>
        <w:t xml:space="preserve">Local </w:t>
      </w:r>
      <w:r w:rsidR="00417DC6" w:rsidRPr="001D0846">
        <w:rPr>
          <w:rFonts w:ascii="Arial" w:hAnsi="Arial" w:cs="Arial"/>
        </w:rPr>
        <w:t>advertising self-regulatory organisations (SROs)</w:t>
      </w:r>
      <w:r w:rsidR="007242EE" w:rsidRPr="001D0846">
        <w:rPr>
          <w:rFonts w:ascii="Arial" w:hAnsi="Arial" w:cs="Arial"/>
        </w:rPr>
        <w:t xml:space="preserve"> </w:t>
      </w:r>
      <w:proofErr w:type="gramStart"/>
      <w:r w:rsidR="007242EE" w:rsidRPr="001D0846">
        <w:rPr>
          <w:rFonts w:ascii="Arial" w:hAnsi="Arial" w:cs="Arial"/>
        </w:rPr>
        <w:t>are able to</w:t>
      </w:r>
      <w:proofErr w:type="gramEnd"/>
      <w:r w:rsidR="007242EE" w:rsidRPr="001D0846">
        <w:rPr>
          <w:rFonts w:ascii="Arial" w:hAnsi="Arial" w:cs="Arial"/>
        </w:rPr>
        <w:t xml:space="preserve"> adjust international recognised standards to local, legal, and societal realities, in light of consumer concerns.</w:t>
      </w:r>
      <w:r w:rsidR="00A42730" w:rsidRPr="001D0846">
        <w:rPr>
          <w:rStyle w:val="FootnoteReference"/>
          <w:rFonts w:ascii="Arial" w:hAnsi="Arial" w:cs="Arial"/>
        </w:rPr>
        <w:footnoteReference w:id="8"/>
      </w:r>
      <w:r w:rsidR="007242EE" w:rsidRPr="001D0846">
        <w:rPr>
          <w:rFonts w:ascii="Arial" w:hAnsi="Arial" w:cs="Arial"/>
        </w:rPr>
        <w:t xml:space="preserve"> </w:t>
      </w:r>
      <w:r w:rsidR="00970CE9" w:rsidRPr="001D0846">
        <w:rPr>
          <w:rFonts w:ascii="Arial" w:hAnsi="Arial" w:cs="Arial"/>
        </w:rPr>
        <w:t xml:space="preserve">For example, 22 European countries have developed rules specifically on alcohol advertising. </w:t>
      </w:r>
      <w:r w:rsidR="007242EE" w:rsidRPr="001D0846">
        <w:rPr>
          <w:rFonts w:ascii="Arial" w:hAnsi="Arial" w:cs="Arial"/>
        </w:rPr>
        <w:t xml:space="preserve">One such example, in the field of alcohol advertising, is the </w:t>
      </w:r>
      <w:hyperlink r:id="rId14" w:history="1">
        <w:r w:rsidR="007242EE" w:rsidRPr="001D0846">
          <w:rPr>
            <w:rStyle w:val="Hyperlink"/>
            <w:rFonts w:ascii="Arial" w:hAnsi="Arial" w:cs="Arial"/>
          </w:rPr>
          <w:t>Belgian SRO’s (JEP)</w:t>
        </w:r>
      </w:hyperlink>
      <w:r w:rsidR="007242EE" w:rsidRPr="001D0846">
        <w:rPr>
          <w:rFonts w:ascii="Arial" w:hAnsi="Arial" w:cs="Arial"/>
        </w:rPr>
        <w:t xml:space="preserve"> </w:t>
      </w:r>
      <w:hyperlink r:id="rId15" w:history="1">
        <w:r w:rsidR="007242EE" w:rsidRPr="001D0846">
          <w:rPr>
            <w:rStyle w:val="Hyperlink"/>
            <w:rFonts w:ascii="Arial" w:hAnsi="Arial" w:cs="Arial"/>
            <w:i/>
            <w:iCs/>
          </w:rPr>
          <w:t>Alcohol Covenant</w:t>
        </w:r>
      </w:hyperlink>
      <w:r w:rsidR="007242EE" w:rsidRPr="001D0846">
        <w:rPr>
          <w:rFonts w:ascii="Arial" w:hAnsi="Arial" w:cs="Arial"/>
        </w:rPr>
        <w:t>, confirming the division of labour between JEP and the health administration, as part of a co-regulatory scheme.</w:t>
      </w:r>
      <w:r w:rsidR="00643410" w:rsidRPr="001D0846">
        <w:rPr>
          <w:rFonts w:ascii="Arial" w:hAnsi="Arial" w:cs="Arial"/>
        </w:rPr>
        <w:t xml:space="preserve">  </w:t>
      </w:r>
    </w:p>
    <w:p w14:paraId="4344080D" w14:textId="5C7369E7" w:rsidR="00C43EF5" w:rsidRPr="001D0846" w:rsidRDefault="00BA05CE" w:rsidP="00E17313">
      <w:pPr>
        <w:spacing w:line="240" w:lineRule="auto"/>
        <w:jc w:val="both"/>
        <w:rPr>
          <w:rFonts w:ascii="Arial" w:hAnsi="Arial" w:cs="Arial"/>
          <w:b/>
          <w:bCs/>
        </w:rPr>
      </w:pPr>
      <w:r w:rsidRPr="001D0846">
        <w:rPr>
          <w:rFonts w:ascii="Arial" w:hAnsi="Arial" w:cs="Arial"/>
          <w:b/>
          <w:bCs/>
        </w:rPr>
        <w:t>Revision of the</w:t>
      </w:r>
      <w:r w:rsidR="007B38A5" w:rsidRPr="001D0846">
        <w:rPr>
          <w:rFonts w:ascii="Arial" w:hAnsi="Arial" w:cs="Arial"/>
          <w:b/>
          <w:bCs/>
        </w:rPr>
        <w:t xml:space="preserve"> advertising</w:t>
      </w:r>
      <w:r w:rsidRPr="001D0846">
        <w:rPr>
          <w:rFonts w:ascii="Arial" w:hAnsi="Arial" w:cs="Arial"/>
          <w:b/>
          <w:bCs/>
        </w:rPr>
        <w:t xml:space="preserve"> law </w:t>
      </w:r>
      <w:r w:rsidR="007B38A5" w:rsidRPr="001D0846">
        <w:rPr>
          <w:rFonts w:ascii="Arial" w:hAnsi="Arial" w:cs="Arial"/>
          <w:b/>
          <w:bCs/>
        </w:rPr>
        <w:t>would</w:t>
      </w:r>
      <w:r w:rsidRPr="001D0846">
        <w:rPr>
          <w:rFonts w:ascii="Arial" w:hAnsi="Arial" w:cs="Arial"/>
          <w:b/>
          <w:bCs/>
        </w:rPr>
        <w:t xml:space="preserve"> </w:t>
      </w:r>
      <w:r w:rsidR="00362D4E">
        <w:rPr>
          <w:rFonts w:ascii="Arial" w:hAnsi="Arial" w:cs="Arial"/>
          <w:b/>
          <w:bCs/>
        </w:rPr>
        <w:t>open the path for Estonia to connect with</w:t>
      </w:r>
      <w:r w:rsidRPr="001D0846">
        <w:rPr>
          <w:rFonts w:ascii="Arial" w:hAnsi="Arial" w:cs="Arial"/>
          <w:b/>
          <w:bCs/>
        </w:rPr>
        <w:t xml:space="preserve"> the wider ad </w:t>
      </w:r>
      <w:r w:rsidR="00362D4E">
        <w:rPr>
          <w:rFonts w:ascii="Arial" w:hAnsi="Arial" w:cs="Arial"/>
          <w:b/>
          <w:bCs/>
        </w:rPr>
        <w:t>self-regulatory</w:t>
      </w:r>
      <w:r w:rsidRPr="001D0846">
        <w:rPr>
          <w:rFonts w:ascii="Arial" w:hAnsi="Arial" w:cs="Arial"/>
          <w:b/>
          <w:bCs/>
        </w:rPr>
        <w:t xml:space="preserve"> </w:t>
      </w:r>
      <w:proofErr w:type="gramStart"/>
      <w:r w:rsidRPr="001D0846">
        <w:rPr>
          <w:rFonts w:ascii="Arial" w:hAnsi="Arial" w:cs="Arial"/>
          <w:b/>
          <w:bCs/>
        </w:rPr>
        <w:t>network</w:t>
      </w:r>
      <w:proofErr w:type="gramEnd"/>
      <w:r w:rsidRPr="001D0846">
        <w:rPr>
          <w:rFonts w:ascii="Arial" w:hAnsi="Arial" w:cs="Arial"/>
          <w:b/>
          <w:bCs/>
        </w:rPr>
        <w:t xml:space="preserve"> </w:t>
      </w:r>
    </w:p>
    <w:p w14:paraId="3CF70609" w14:textId="10D74155" w:rsidR="00362D4E" w:rsidRDefault="00BA05CE" w:rsidP="00E17313">
      <w:pPr>
        <w:spacing w:line="240" w:lineRule="auto"/>
        <w:jc w:val="both"/>
        <w:rPr>
          <w:rFonts w:ascii="Arial" w:hAnsi="Arial" w:cs="Arial"/>
        </w:rPr>
      </w:pPr>
      <w:r w:rsidRPr="001D0846">
        <w:rPr>
          <w:rFonts w:ascii="Arial" w:hAnsi="Arial" w:cs="Arial"/>
        </w:rPr>
        <w:t xml:space="preserve">To make the most of this network and framework, </w:t>
      </w:r>
      <w:r w:rsidR="00C43EF5" w:rsidRPr="001D0846">
        <w:rPr>
          <w:rFonts w:ascii="Arial" w:hAnsi="Arial" w:cs="Arial"/>
        </w:rPr>
        <w:t xml:space="preserve">we support the revision of the Estonian Advertising Act as it seeks to encourage self-regulatory solutions through the establishment of a self-regulatory organisation. This would </w:t>
      </w:r>
      <w:r w:rsidR="00684C50" w:rsidRPr="001D0846">
        <w:rPr>
          <w:rFonts w:ascii="Arial" w:hAnsi="Arial" w:cs="Arial"/>
        </w:rPr>
        <w:t>plug</w:t>
      </w:r>
      <w:r w:rsidR="00C43EF5" w:rsidRPr="001D0846">
        <w:rPr>
          <w:rFonts w:ascii="Arial" w:hAnsi="Arial" w:cs="Arial"/>
        </w:rPr>
        <w:t xml:space="preserve"> Estonia </w:t>
      </w:r>
      <w:r w:rsidR="00684C50" w:rsidRPr="001D0846">
        <w:rPr>
          <w:rFonts w:ascii="Arial" w:hAnsi="Arial" w:cs="Arial"/>
        </w:rPr>
        <w:t>with the larger</w:t>
      </w:r>
      <w:r w:rsidR="00C43EF5" w:rsidRPr="001D0846">
        <w:rPr>
          <w:rFonts w:ascii="Arial" w:hAnsi="Arial" w:cs="Arial"/>
        </w:rPr>
        <w:t xml:space="preserve"> alliance of European countries that are equipped with one and help ensure that its advertising policies are up to date with international standards</w:t>
      </w:r>
      <w:r w:rsidR="007549D8" w:rsidRPr="001D0846">
        <w:rPr>
          <w:rFonts w:ascii="Arial" w:hAnsi="Arial" w:cs="Arial"/>
        </w:rPr>
        <w:t xml:space="preserve"> and are connected, through EASA, to the European policymaking space’s developments</w:t>
      </w:r>
      <w:r w:rsidR="002C13D1" w:rsidRPr="001D0846">
        <w:rPr>
          <w:rFonts w:ascii="Arial" w:hAnsi="Arial" w:cs="Arial"/>
        </w:rPr>
        <w:t>.</w:t>
      </w:r>
    </w:p>
    <w:p w14:paraId="5FF0EB75" w14:textId="77777777" w:rsidR="00362D4E" w:rsidRPr="00362D4E" w:rsidRDefault="00362D4E" w:rsidP="00E17313">
      <w:pPr>
        <w:spacing w:line="240" w:lineRule="auto"/>
        <w:jc w:val="both"/>
        <w:rPr>
          <w:rFonts w:ascii="Arial" w:hAnsi="Arial" w:cs="Arial"/>
        </w:rPr>
      </w:pPr>
    </w:p>
    <w:p w14:paraId="3FE5BB19" w14:textId="77777777" w:rsidR="00362D4E" w:rsidRDefault="00362D4E" w:rsidP="00E17313">
      <w:pPr>
        <w:spacing w:line="240" w:lineRule="auto"/>
        <w:jc w:val="both"/>
        <w:rPr>
          <w:rFonts w:ascii="Arial" w:hAnsi="Arial" w:cs="Arial"/>
          <w:b/>
          <w:bCs/>
        </w:rPr>
      </w:pPr>
    </w:p>
    <w:p w14:paraId="7BEA779D" w14:textId="6BAF51E5" w:rsidR="00C43EF5" w:rsidRPr="001D0846" w:rsidRDefault="001340EA" w:rsidP="00E17313">
      <w:pPr>
        <w:spacing w:line="240" w:lineRule="auto"/>
        <w:jc w:val="both"/>
        <w:rPr>
          <w:rFonts w:ascii="Arial" w:hAnsi="Arial" w:cs="Arial"/>
        </w:rPr>
      </w:pPr>
      <w:r w:rsidRPr="001D0846">
        <w:rPr>
          <w:rFonts w:ascii="Arial" w:hAnsi="Arial" w:cs="Arial"/>
          <w:b/>
          <w:bCs/>
        </w:rPr>
        <w:t>A</w:t>
      </w:r>
      <w:r w:rsidR="00474F7E" w:rsidRPr="001D0846">
        <w:rPr>
          <w:rFonts w:ascii="Arial" w:hAnsi="Arial" w:cs="Arial"/>
          <w:b/>
          <w:bCs/>
        </w:rPr>
        <w:t xml:space="preserve">bout </w:t>
      </w:r>
      <w:r w:rsidR="00C43EF5" w:rsidRPr="001D0846">
        <w:rPr>
          <w:rFonts w:ascii="Arial" w:hAnsi="Arial" w:cs="Arial"/>
          <w:b/>
          <w:bCs/>
        </w:rPr>
        <w:t>EASA’s</w:t>
      </w:r>
      <w:r w:rsidR="00B2384D" w:rsidRPr="001D0846">
        <w:rPr>
          <w:rFonts w:ascii="Arial" w:hAnsi="Arial" w:cs="Arial"/>
          <w:b/>
          <w:bCs/>
        </w:rPr>
        <w:t xml:space="preserve"> network of </w:t>
      </w:r>
      <w:r w:rsidR="00C43EF5" w:rsidRPr="001D0846">
        <w:rPr>
          <w:rFonts w:ascii="Arial" w:hAnsi="Arial" w:cs="Arial"/>
          <w:b/>
          <w:bCs/>
        </w:rPr>
        <w:t xml:space="preserve">responsible players </w:t>
      </w:r>
      <w:r w:rsidR="00B2384D" w:rsidRPr="001D0846">
        <w:rPr>
          <w:rFonts w:ascii="Arial" w:hAnsi="Arial" w:cs="Arial"/>
          <w:b/>
          <w:bCs/>
        </w:rPr>
        <w:t xml:space="preserve"> </w:t>
      </w:r>
      <w:r w:rsidR="00474F7E" w:rsidRPr="001D0846">
        <w:rPr>
          <w:rFonts w:ascii="Arial" w:hAnsi="Arial" w:cs="Arial"/>
          <w:b/>
          <w:bCs/>
        </w:rPr>
        <w:t xml:space="preserve"> </w:t>
      </w:r>
    </w:p>
    <w:p w14:paraId="44F5D033" w14:textId="2A5E5B81" w:rsidR="00E86836" w:rsidRPr="001D0846" w:rsidRDefault="00EA2640" w:rsidP="00E17313">
      <w:pPr>
        <w:spacing w:line="240" w:lineRule="auto"/>
        <w:jc w:val="both"/>
        <w:rPr>
          <w:rFonts w:ascii="Arial" w:hAnsi="Arial" w:cs="Arial"/>
        </w:rPr>
      </w:pPr>
      <w:r w:rsidRPr="001D0846">
        <w:rPr>
          <w:rFonts w:ascii="Arial" w:hAnsi="Arial" w:cs="Arial"/>
        </w:rPr>
        <w:t xml:space="preserve">EASA is the single authoritative voice on </w:t>
      </w:r>
      <w:r w:rsidR="00684C50" w:rsidRPr="001D0846">
        <w:rPr>
          <w:rFonts w:ascii="Arial" w:hAnsi="Arial" w:cs="Arial"/>
        </w:rPr>
        <w:t xml:space="preserve">collective and effective </w:t>
      </w:r>
      <w:r w:rsidRPr="001D0846">
        <w:rPr>
          <w:rFonts w:ascii="Arial" w:hAnsi="Arial" w:cs="Arial"/>
        </w:rPr>
        <w:t xml:space="preserve">advertising self-regulation in Europe and promotes high ethical standards in commercial communications by means of effective, independent, and collective self-regulation to help foster consumer trust. Established in 1992, EASA’s membership is now composed of </w:t>
      </w:r>
      <w:hyperlink r:id="rId16" w:history="1">
        <w:r w:rsidRPr="001D0846">
          <w:rPr>
            <w:rStyle w:val="Hyperlink"/>
            <w:rFonts w:ascii="Arial" w:hAnsi="Arial" w:cs="Arial"/>
          </w:rPr>
          <w:t>27 independent advertising SROs</w:t>
        </w:r>
      </w:hyperlink>
      <w:r w:rsidR="00DE042C" w:rsidRPr="001D0846">
        <w:rPr>
          <w:rFonts w:ascii="Arial" w:hAnsi="Arial" w:cs="Arial"/>
        </w:rPr>
        <w:t xml:space="preserve"> present in 25 European countries</w:t>
      </w:r>
      <w:r w:rsidR="007549D8" w:rsidRPr="001D0846">
        <w:rPr>
          <w:rFonts w:ascii="Arial" w:hAnsi="Arial" w:cs="Arial"/>
        </w:rPr>
        <w:t>,</w:t>
      </w:r>
      <w:r w:rsidR="00152651">
        <w:rPr>
          <w:rFonts w:ascii="Arial" w:hAnsi="Arial" w:cs="Arial"/>
        </w:rPr>
        <w:t xml:space="preserve"> covering 96% of the EU population,</w:t>
      </w:r>
      <w:r w:rsidRPr="001D0846">
        <w:rPr>
          <w:rFonts w:ascii="Arial" w:hAnsi="Arial" w:cs="Arial"/>
        </w:rPr>
        <w:t xml:space="preserve"> and </w:t>
      </w:r>
      <w:hyperlink r:id="rId17" w:history="1">
        <w:r w:rsidRPr="001D0846">
          <w:rPr>
            <w:rStyle w:val="Hyperlink"/>
            <w:rFonts w:ascii="Arial" w:hAnsi="Arial" w:cs="Arial"/>
          </w:rPr>
          <w:t>14 stakeholders</w:t>
        </w:r>
      </w:hyperlink>
      <w:r w:rsidRPr="001D0846">
        <w:rPr>
          <w:rFonts w:ascii="Arial" w:hAnsi="Arial" w:cs="Arial"/>
        </w:rPr>
        <w:t xml:space="preserve"> representing the advertising ecosystem (advertisers, agencies, media, and digital platforms), which are all committed to ensuring responsible advertising</w:t>
      </w:r>
      <w:r w:rsidR="0011654A" w:rsidRPr="001D0846">
        <w:rPr>
          <w:rFonts w:ascii="Arial" w:hAnsi="Arial" w:cs="Arial"/>
        </w:rPr>
        <w:t>.</w:t>
      </w:r>
    </w:p>
    <w:p w14:paraId="2117C3FA" w14:textId="2D151D94" w:rsidR="00287143" w:rsidRPr="001D0846" w:rsidRDefault="00E86836" w:rsidP="00E17313">
      <w:pPr>
        <w:spacing w:line="240" w:lineRule="auto"/>
        <w:jc w:val="both"/>
        <w:rPr>
          <w:rFonts w:ascii="Arial" w:hAnsi="Arial" w:cs="Arial"/>
          <w:b/>
          <w:bCs/>
        </w:rPr>
      </w:pPr>
      <w:r w:rsidRPr="001D0846">
        <w:rPr>
          <w:rFonts w:ascii="Arial" w:hAnsi="Arial" w:cs="Arial"/>
          <w:b/>
          <w:bCs/>
        </w:rPr>
        <w:t xml:space="preserve">About </w:t>
      </w:r>
      <w:r w:rsidR="007B38A5" w:rsidRPr="001D0846">
        <w:rPr>
          <w:rFonts w:ascii="Arial" w:hAnsi="Arial" w:cs="Arial"/>
          <w:b/>
          <w:bCs/>
        </w:rPr>
        <w:t>WFA</w:t>
      </w:r>
      <w:r w:rsidRPr="001D0846">
        <w:rPr>
          <w:rFonts w:ascii="Arial" w:hAnsi="Arial" w:cs="Arial"/>
          <w:b/>
          <w:bCs/>
        </w:rPr>
        <w:t xml:space="preserve">’s membership of responsible advertisers </w:t>
      </w:r>
    </w:p>
    <w:p w14:paraId="6992B850" w14:textId="3BB6094D" w:rsidR="007B38A5" w:rsidRPr="001D0846" w:rsidRDefault="002C13D1" w:rsidP="00251298">
      <w:pPr>
        <w:spacing w:line="240" w:lineRule="auto"/>
        <w:jc w:val="both"/>
        <w:rPr>
          <w:rFonts w:ascii="Arial" w:hAnsi="Arial" w:cs="Arial"/>
        </w:rPr>
      </w:pPr>
      <w:r w:rsidRPr="001D0846">
        <w:rPr>
          <w:rFonts w:ascii="Arial" w:hAnsi="Arial" w:cs="Arial"/>
        </w:rPr>
        <w:t>The World Federation of Advertisers (WFA) is the only global network for marketers, representing 90% of global marketing communications spend -  over €800 billion per year – through a unique global network of the world</w:t>
      </w:r>
      <w:r w:rsidR="003C3C70" w:rsidRPr="001D0846">
        <w:rPr>
          <w:rFonts w:ascii="Arial" w:hAnsi="Arial" w:cs="Arial"/>
        </w:rPr>
        <w:t xml:space="preserve">’s biggest markets and biggest marketers. WFA champions responsible and effective marketing communications worldwide. </w:t>
      </w:r>
      <w:r w:rsidRPr="001D0846">
        <w:rPr>
          <w:rFonts w:ascii="Arial" w:hAnsi="Arial" w:cs="Arial"/>
        </w:rPr>
        <w:t>We represent over 1</w:t>
      </w:r>
      <w:r w:rsidR="003C3C70" w:rsidRPr="001D0846">
        <w:rPr>
          <w:rFonts w:ascii="Arial" w:hAnsi="Arial" w:cs="Arial"/>
        </w:rPr>
        <w:t>45</w:t>
      </w:r>
      <w:r w:rsidRPr="001D0846">
        <w:rPr>
          <w:rFonts w:ascii="Arial" w:hAnsi="Arial" w:cs="Arial"/>
        </w:rPr>
        <w:t xml:space="preserve"> brand owners and 60 national advertiser associations worldwide. This includes national advertiser associations in 19 EU Member States and about 50% of the companies we represent are European. </w:t>
      </w:r>
    </w:p>
    <w:sectPr w:rsidR="007B38A5" w:rsidRPr="001D084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7C72" w14:textId="77777777" w:rsidR="005D1943" w:rsidRDefault="005D1943" w:rsidP="004507B4">
      <w:pPr>
        <w:spacing w:after="0" w:line="240" w:lineRule="auto"/>
      </w:pPr>
      <w:r>
        <w:separator/>
      </w:r>
    </w:p>
  </w:endnote>
  <w:endnote w:type="continuationSeparator" w:id="0">
    <w:p w14:paraId="6A636E64" w14:textId="77777777" w:rsidR="005D1943" w:rsidRDefault="005D1943" w:rsidP="0045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23570"/>
      <w:docPartObj>
        <w:docPartGallery w:val="Page Numbers (Bottom of Page)"/>
        <w:docPartUnique/>
      </w:docPartObj>
    </w:sdtPr>
    <w:sdtContent>
      <w:p w14:paraId="3BCCCAA3" w14:textId="5FAF9C7C" w:rsidR="006B64B1" w:rsidRDefault="006B64B1">
        <w:pPr>
          <w:pStyle w:val="Footer"/>
          <w:jc w:val="right"/>
        </w:pPr>
        <w:r>
          <w:fldChar w:fldCharType="begin"/>
        </w:r>
        <w:r>
          <w:instrText>PAGE   \* MERGEFORMAT</w:instrText>
        </w:r>
        <w:r>
          <w:fldChar w:fldCharType="separate"/>
        </w:r>
        <w:r>
          <w:t>2</w:t>
        </w:r>
        <w:r>
          <w:fldChar w:fldCharType="end"/>
        </w:r>
      </w:p>
    </w:sdtContent>
  </w:sdt>
  <w:p w14:paraId="31E312B0" w14:textId="77777777" w:rsidR="006B64B1" w:rsidRDefault="006B6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7716" w14:textId="77777777" w:rsidR="005D1943" w:rsidRDefault="005D1943" w:rsidP="004507B4">
      <w:pPr>
        <w:spacing w:after="0" w:line="240" w:lineRule="auto"/>
      </w:pPr>
      <w:r>
        <w:separator/>
      </w:r>
    </w:p>
  </w:footnote>
  <w:footnote w:type="continuationSeparator" w:id="0">
    <w:p w14:paraId="3A0BCFDC" w14:textId="77777777" w:rsidR="005D1943" w:rsidRDefault="005D1943" w:rsidP="004507B4">
      <w:pPr>
        <w:spacing w:after="0" w:line="240" w:lineRule="auto"/>
      </w:pPr>
      <w:r>
        <w:continuationSeparator/>
      </w:r>
    </w:p>
  </w:footnote>
  <w:footnote w:id="1">
    <w:p w14:paraId="24296083" w14:textId="2712452B" w:rsidR="0037463C" w:rsidRPr="001D0846" w:rsidRDefault="0037463C">
      <w:pPr>
        <w:pStyle w:val="FootnoteText"/>
        <w:rPr>
          <w:rFonts w:ascii="Roboto" w:hAnsi="Roboto"/>
          <w:sz w:val="14"/>
          <w:szCs w:val="14"/>
        </w:rPr>
      </w:pPr>
      <w:r w:rsidRPr="001D0846">
        <w:rPr>
          <w:rStyle w:val="FootnoteReference"/>
          <w:rFonts w:ascii="Roboto" w:hAnsi="Roboto"/>
          <w:sz w:val="14"/>
          <w:szCs w:val="14"/>
        </w:rPr>
        <w:footnoteRef/>
      </w:r>
      <w:r w:rsidRPr="001D0846">
        <w:rPr>
          <w:rFonts w:ascii="Roboto" w:hAnsi="Roboto"/>
          <w:sz w:val="14"/>
          <w:szCs w:val="14"/>
        </w:rPr>
        <w:t xml:space="preserve"> The </w:t>
      </w:r>
      <w:hyperlink r:id="rId1" w:anchor="tocId19" w:history="1">
        <w:r w:rsidRPr="001D0846">
          <w:rPr>
            <w:rStyle w:val="Hyperlink"/>
            <w:rFonts w:ascii="Roboto" w:hAnsi="Roboto"/>
            <w:sz w:val="14"/>
            <w:szCs w:val="14"/>
          </w:rPr>
          <w:t>Audio-Visual Media Services Directive</w:t>
        </w:r>
      </w:hyperlink>
      <w:r w:rsidRPr="001D0846">
        <w:rPr>
          <w:rFonts w:ascii="Roboto" w:hAnsi="Roboto"/>
          <w:sz w:val="14"/>
          <w:szCs w:val="14"/>
        </w:rPr>
        <w:t>, specifically articles 4a</w:t>
      </w:r>
      <w:r w:rsidR="001340EA" w:rsidRPr="001D0846">
        <w:rPr>
          <w:rFonts w:ascii="Roboto" w:hAnsi="Roboto"/>
          <w:sz w:val="14"/>
          <w:szCs w:val="14"/>
        </w:rPr>
        <w:t xml:space="preserve"> and </w:t>
      </w:r>
      <w:r w:rsidRPr="001D0846">
        <w:rPr>
          <w:rFonts w:ascii="Roboto" w:hAnsi="Roboto"/>
          <w:sz w:val="14"/>
          <w:szCs w:val="14"/>
        </w:rPr>
        <w:t xml:space="preserve">9(3) and (4). </w:t>
      </w:r>
    </w:p>
  </w:footnote>
  <w:footnote w:id="2">
    <w:p w14:paraId="1F38C216" w14:textId="57CDC579" w:rsidR="0037463C" w:rsidRPr="001D0846" w:rsidRDefault="0037463C">
      <w:pPr>
        <w:pStyle w:val="FootnoteText"/>
        <w:rPr>
          <w:rFonts w:ascii="Roboto" w:hAnsi="Roboto"/>
          <w:sz w:val="14"/>
          <w:szCs w:val="14"/>
        </w:rPr>
      </w:pPr>
      <w:r w:rsidRPr="001D0846">
        <w:rPr>
          <w:rStyle w:val="FootnoteReference"/>
          <w:rFonts w:ascii="Roboto" w:hAnsi="Roboto"/>
          <w:sz w:val="14"/>
          <w:szCs w:val="14"/>
        </w:rPr>
        <w:footnoteRef/>
      </w:r>
      <w:r w:rsidRPr="001D0846">
        <w:rPr>
          <w:rFonts w:ascii="Roboto" w:hAnsi="Roboto"/>
          <w:sz w:val="14"/>
          <w:szCs w:val="14"/>
        </w:rPr>
        <w:t xml:space="preserve"> The European Commission’s </w:t>
      </w:r>
      <w:hyperlink r:id="rId2" w:history="1">
        <w:r w:rsidRPr="001D0846">
          <w:rPr>
            <w:rStyle w:val="Hyperlink"/>
            <w:rFonts w:ascii="Roboto" w:hAnsi="Roboto"/>
            <w:sz w:val="14"/>
            <w:szCs w:val="14"/>
          </w:rPr>
          <w:t>Guidance on the Unfair Commercial Practices Directive</w:t>
        </w:r>
      </w:hyperlink>
      <w:r w:rsidRPr="001D0846">
        <w:rPr>
          <w:rFonts w:ascii="Roboto" w:hAnsi="Roboto"/>
          <w:sz w:val="14"/>
          <w:szCs w:val="14"/>
        </w:rPr>
        <w:t xml:space="preserve">, specifically section 1.3. </w:t>
      </w:r>
    </w:p>
  </w:footnote>
  <w:footnote w:id="3">
    <w:p w14:paraId="06A895AD" w14:textId="09248CED" w:rsidR="008E7360" w:rsidRPr="001D0846" w:rsidRDefault="008E7360">
      <w:pPr>
        <w:pStyle w:val="FootnoteText"/>
        <w:rPr>
          <w:rFonts w:ascii="Roboto" w:hAnsi="Roboto"/>
          <w:sz w:val="14"/>
          <w:szCs w:val="14"/>
        </w:rPr>
      </w:pPr>
      <w:r w:rsidRPr="001D0846">
        <w:rPr>
          <w:rStyle w:val="FootnoteReference"/>
          <w:rFonts w:ascii="Roboto" w:hAnsi="Roboto"/>
          <w:sz w:val="14"/>
          <w:szCs w:val="14"/>
        </w:rPr>
        <w:footnoteRef/>
      </w:r>
      <w:r w:rsidRPr="001D0846">
        <w:rPr>
          <w:rFonts w:ascii="Roboto" w:hAnsi="Roboto"/>
          <w:sz w:val="14"/>
          <w:szCs w:val="14"/>
        </w:rPr>
        <w:t xml:space="preserve"> This refers to SROs reviewing an ad or an ad campaign before broadcast/publication on a voluntary basis. More info here. </w:t>
      </w:r>
    </w:p>
  </w:footnote>
  <w:footnote w:id="4">
    <w:p w14:paraId="539FFEA7" w14:textId="6BEB47CA" w:rsidR="00EE0334" w:rsidRPr="001D0846" w:rsidRDefault="00EE0334">
      <w:pPr>
        <w:pStyle w:val="FootnoteText"/>
        <w:rPr>
          <w:rFonts w:ascii="Roboto" w:hAnsi="Roboto"/>
          <w:sz w:val="14"/>
          <w:szCs w:val="14"/>
        </w:rPr>
      </w:pPr>
      <w:r w:rsidRPr="001D0846">
        <w:rPr>
          <w:rStyle w:val="FootnoteReference"/>
          <w:rFonts w:ascii="Roboto" w:hAnsi="Roboto"/>
          <w:sz w:val="14"/>
          <w:szCs w:val="14"/>
        </w:rPr>
        <w:footnoteRef/>
      </w:r>
      <w:r w:rsidRPr="001D0846">
        <w:rPr>
          <w:rFonts w:ascii="Roboto" w:hAnsi="Roboto"/>
          <w:sz w:val="14"/>
          <w:szCs w:val="14"/>
        </w:rPr>
        <w:t xml:space="preserve"> Complete and detailed data available on EASA’s website </w:t>
      </w:r>
      <w:hyperlink r:id="rId3" w:history="1">
        <w:r w:rsidRPr="001D0846">
          <w:rPr>
            <w:rStyle w:val="Hyperlink"/>
            <w:rFonts w:ascii="Roboto" w:hAnsi="Roboto"/>
            <w:sz w:val="14"/>
            <w:szCs w:val="14"/>
          </w:rPr>
          <w:t>here</w:t>
        </w:r>
      </w:hyperlink>
      <w:r w:rsidRPr="001D0846">
        <w:rPr>
          <w:rFonts w:ascii="Roboto" w:hAnsi="Roboto"/>
          <w:sz w:val="14"/>
          <w:szCs w:val="14"/>
        </w:rPr>
        <w:t xml:space="preserve">. </w:t>
      </w:r>
    </w:p>
  </w:footnote>
  <w:footnote w:id="5">
    <w:p w14:paraId="1B3E15F7" w14:textId="4C29CF3D" w:rsidR="0041028B" w:rsidRPr="001D0846" w:rsidRDefault="0041028B">
      <w:pPr>
        <w:pStyle w:val="FootnoteText"/>
        <w:rPr>
          <w:rFonts w:ascii="Roboto" w:hAnsi="Roboto"/>
          <w:sz w:val="14"/>
          <w:szCs w:val="14"/>
        </w:rPr>
      </w:pPr>
      <w:r w:rsidRPr="001D0846">
        <w:rPr>
          <w:rStyle w:val="FootnoteReference"/>
          <w:rFonts w:ascii="Roboto" w:hAnsi="Roboto"/>
          <w:sz w:val="14"/>
          <w:szCs w:val="14"/>
        </w:rPr>
        <w:footnoteRef/>
      </w:r>
      <w:r w:rsidRPr="001D0846">
        <w:rPr>
          <w:rFonts w:ascii="Roboto" w:hAnsi="Roboto"/>
          <w:sz w:val="14"/>
          <w:szCs w:val="14"/>
        </w:rPr>
        <w:t xml:space="preserve"> More info on SROs’ data-driven and tech-supported advertising monitoring investments </w:t>
      </w:r>
      <w:hyperlink r:id="rId4" w:history="1">
        <w:r w:rsidRPr="001D0846">
          <w:rPr>
            <w:rStyle w:val="Hyperlink"/>
            <w:rFonts w:ascii="Roboto" w:hAnsi="Roboto"/>
            <w:sz w:val="14"/>
            <w:szCs w:val="14"/>
          </w:rPr>
          <w:t>here</w:t>
        </w:r>
      </w:hyperlink>
      <w:r w:rsidRPr="001D0846">
        <w:rPr>
          <w:rFonts w:ascii="Roboto" w:hAnsi="Roboto"/>
          <w:sz w:val="14"/>
          <w:szCs w:val="14"/>
        </w:rPr>
        <w:t xml:space="preserve">. </w:t>
      </w:r>
    </w:p>
  </w:footnote>
  <w:footnote w:id="6">
    <w:p w14:paraId="469B1477" w14:textId="648C232E" w:rsidR="001D0846" w:rsidRPr="001D0846" w:rsidRDefault="001D0846" w:rsidP="001D0846">
      <w:pPr>
        <w:pStyle w:val="FootnoteText"/>
        <w:rPr>
          <w:rFonts w:ascii="Roboto" w:hAnsi="Roboto"/>
          <w:sz w:val="14"/>
          <w:szCs w:val="14"/>
        </w:rPr>
      </w:pPr>
      <w:r w:rsidRPr="001D0846">
        <w:rPr>
          <w:rStyle w:val="FootnoteReference"/>
          <w:rFonts w:ascii="Roboto" w:hAnsi="Roboto"/>
          <w:sz w:val="14"/>
          <w:szCs w:val="14"/>
        </w:rPr>
        <w:footnoteRef/>
      </w:r>
      <w:r w:rsidRPr="001D0846">
        <w:rPr>
          <w:rFonts w:ascii="Roboto" w:hAnsi="Roboto"/>
          <w:sz w:val="14"/>
          <w:szCs w:val="14"/>
        </w:rPr>
        <w:t xml:space="preserve"> The EU pledge prohibits  signatories  to advertise food and beverages to children under 13 years, except for products which fulfil the EU Pledge common nutrition criteria.</w:t>
      </w:r>
      <w:r>
        <w:rPr>
          <w:rFonts w:ascii="Roboto" w:hAnsi="Roboto"/>
          <w:sz w:val="14"/>
          <w:szCs w:val="14"/>
        </w:rPr>
        <w:t xml:space="preserve"> </w:t>
      </w:r>
      <w:r w:rsidRPr="001D0846">
        <w:rPr>
          <w:rFonts w:ascii="Roboto" w:hAnsi="Roboto"/>
          <w:sz w:val="14"/>
          <w:szCs w:val="14"/>
        </w:rPr>
        <w:t xml:space="preserve">It also requires </w:t>
      </w:r>
      <w:proofErr w:type="gramStart"/>
      <w:r w:rsidRPr="001D0846">
        <w:rPr>
          <w:rFonts w:ascii="Roboto" w:hAnsi="Roboto"/>
          <w:sz w:val="14"/>
          <w:szCs w:val="14"/>
        </w:rPr>
        <w:t>to refrain</w:t>
      </w:r>
      <w:proofErr w:type="gramEnd"/>
      <w:r w:rsidRPr="001D0846">
        <w:rPr>
          <w:rFonts w:ascii="Roboto" w:hAnsi="Roboto"/>
          <w:sz w:val="14"/>
          <w:szCs w:val="14"/>
        </w:rPr>
        <w:t xml:space="preserve"> from marketing or advertising in primary schools, except where specifically requested by, or agreed with, the school administration for educational purposes and to abide by the ICC Code of Advertising and Marketing Communication Practice; and the ICC Framework </w:t>
      </w:r>
      <w:r w:rsidRPr="00362D4E">
        <w:rPr>
          <w:rFonts w:ascii="Roboto" w:hAnsi="Roboto"/>
          <w:sz w:val="14"/>
          <w:szCs w:val="14"/>
        </w:rPr>
        <w:t>for Responsible Food and Beverage Marketing Communications in all marketing communications.</w:t>
      </w:r>
    </w:p>
  </w:footnote>
  <w:footnote w:id="7">
    <w:p w14:paraId="042310A8" w14:textId="6AA98FDC" w:rsidR="00A42730" w:rsidRPr="001D0846" w:rsidRDefault="00A42730">
      <w:pPr>
        <w:pStyle w:val="FootnoteText"/>
        <w:rPr>
          <w:rFonts w:ascii="Roboto" w:hAnsi="Roboto"/>
          <w:sz w:val="14"/>
          <w:szCs w:val="14"/>
        </w:rPr>
      </w:pPr>
      <w:r w:rsidRPr="001D0846">
        <w:rPr>
          <w:rStyle w:val="FootnoteReference"/>
          <w:rFonts w:ascii="Roboto" w:hAnsi="Roboto"/>
          <w:sz w:val="14"/>
          <w:szCs w:val="14"/>
        </w:rPr>
        <w:footnoteRef/>
      </w:r>
      <w:r w:rsidRPr="001D0846">
        <w:rPr>
          <w:rFonts w:ascii="Roboto" w:hAnsi="Roboto"/>
          <w:sz w:val="14"/>
          <w:szCs w:val="14"/>
        </w:rPr>
        <w:t xml:space="preserve"> More info in </w:t>
      </w:r>
      <w:hyperlink r:id="rId5" w:history="1">
        <w:r w:rsidRPr="001D0846">
          <w:rPr>
            <w:rStyle w:val="Hyperlink"/>
            <w:rFonts w:ascii="Roboto" w:hAnsi="Roboto"/>
            <w:sz w:val="14"/>
            <w:szCs w:val="14"/>
          </w:rPr>
          <w:t>EASA’s leaflet</w:t>
        </w:r>
      </w:hyperlink>
      <w:r w:rsidR="0011654A" w:rsidRPr="001D0846">
        <w:rPr>
          <w:rFonts w:ascii="Roboto" w:hAnsi="Roboto"/>
          <w:sz w:val="14"/>
          <w:szCs w:val="14"/>
        </w:rPr>
        <w:t>.</w:t>
      </w:r>
    </w:p>
  </w:footnote>
  <w:footnote w:id="8">
    <w:p w14:paraId="41C61917" w14:textId="0600C909" w:rsidR="00A42730" w:rsidRPr="008E7360" w:rsidRDefault="00A42730">
      <w:pPr>
        <w:pStyle w:val="FootnoteText"/>
        <w:rPr>
          <w:rFonts w:ascii="Roboto" w:hAnsi="Roboto"/>
          <w:sz w:val="14"/>
          <w:szCs w:val="14"/>
        </w:rPr>
      </w:pPr>
      <w:r w:rsidRPr="001D0846">
        <w:rPr>
          <w:rStyle w:val="FootnoteReference"/>
          <w:rFonts w:ascii="Roboto" w:hAnsi="Roboto"/>
          <w:sz w:val="14"/>
          <w:szCs w:val="14"/>
        </w:rPr>
        <w:footnoteRef/>
      </w:r>
      <w:r w:rsidRPr="001D0846">
        <w:rPr>
          <w:rFonts w:ascii="Roboto" w:hAnsi="Roboto"/>
          <w:sz w:val="14"/>
          <w:szCs w:val="14"/>
        </w:rPr>
        <w:t xml:space="preserve"> More general info on advertising self-regulation’s benefits in the </w:t>
      </w:r>
      <w:hyperlink r:id="rId6" w:history="1">
        <w:r w:rsidRPr="001D0846">
          <w:rPr>
            <w:rStyle w:val="Hyperlink"/>
            <w:rFonts w:ascii="Roboto" w:hAnsi="Roboto"/>
            <w:sz w:val="14"/>
            <w:szCs w:val="14"/>
          </w:rPr>
          <w:t>ICC Toolkit</w:t>
        </w:r>
      </w:hyperlink>
      <w:r w:rsidR="0011654A" w:rsidRPr="001D0846">
        <w:rPr>
          <w:rFonts w:ascii="Roboto" w:hAnsi="Roboto"/>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C33" w14:textId="1C545A4F" w:rsidR="004507B4" w:rsidRDefault="002C13D1">
    <w:pPr>
      <w:pStyle w:val="Header"/>
    </w:pPr>
    <w:r>
      <w:rPr>
        <w:noProof/>
      </w:rPr>
      <w:drawing>
        <wp:anchor distT="0" distB="0" distL="114300" distR="114300" simplePos="0" relativeHeight="251659264" behindDoc="0" locked="0" layoutInCell="1" allowOverlap="1" wp14:anchorId="78E17339" wp14:editId="2ABE8B42">
          <wp:simplePos x="0" y="0"/>
          <wp:positionH relativeFrom="margin">
            <wp:posOffset>4834890</wp:posOffset>
          </wp:positionH>
          <wp:positionV relativeFrom="margin">
            <wp:posOffset>-733425</wp:posOffset>
          </wp:positionV>
          <wp:extent cx="1155700" cy="762000"/>
          <wp:effectExtent l="0" t="0" r="6350" b="0"/>
          <wp:wrapSquare wrapText="bothSides"/>
          <wp:docPr id="1480684316" name="Picture 3"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84316" name="Picture 3"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5700" cy="762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4507B4">
      <w:rPr>
        <w:rFonts w:ascii="Roboto" w:hAnsi="Roboto"/>
        <w:noProof/>
      </w:rPr>
      <w:drawing>
        <wp:anchor distT="0" distB="0" distL="114300" distR="114300" simplePos="0" relativeHeight="251658240" behindDoc="1" locked="0" layoutInCell="1" allowOverlap="1" wp14:anchorId="5B04053B" wp14:editId="557049CC">
          <wp:simplePos x="0" y="0"/>
          <wp:positionH relativeFrom="column">
            <wp:posOffset>-82550</wp:posOffset>
          </wp:positionH>
          <wp:positionV relativeFrom="paragraph">
            <wp:posOffset>-194310</wp:posOffset>
          </wp:positionV>
          <wp:extent cx="1125855" cy="615315"/>
          <wp:effectExtent l="0" t="0" r="0" b="0"/>
          <wp:wrapSquare wrapText="bothSides"/>
          <wp:docPr id="44069451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94518" name="Picture 1" descr="Blue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5855" cy="6153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308F"/>
    <w:multiLevelType w:val="hybridMultilevel"/>
    <w:tmpl w:val="FF9CC114"/>
    <w:lvl w:ilvl="0" w:tplc="DA2692E0">
      <w:numFmt w:val="bullet"/>
      <w:lvlText w:val="-"/>
      <w:lvlJc w:val="left"/>
      <w:pPr>
        <w:ind w:left="720" w:hanging="360"/>
      </w:pPr>
      <w:rPr>
        <w:rFonts w:ascii="Roboto" w:eastAsiaTheme="minorHAnsi" w:hAnsi="Roboto"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B944828"/>
    <w:multiLevelType w:val="hybridMultilevel"/>
    <w:tmpl w:val="C1349D34"/>
    <w:lvl w:ilvl="0" w:tplc="D1F2CE8E">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3090568">
    <w:abstractNumId w:val="0"/>
  </w:num>
  <w:num w:numId="2" w16cid:durableId="199823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7E"/>
    <w:rsid w:val="00041204"/>
    <w:rsid w:val="00053803"/>
    <w:rsid w:val="000578A8"/>
    <w:rsid w:val="00097061"/>
    <w:rsid w:val="0011654A"/>
    <w:rsid w:val="001340EA"/>
    <w:rsid w:val="00152651"/>
    <w:rsid w:val="0017469E"/>
    <w:rsid w:val="00190216"/>
    <w:rsid w:val="001D0846"/>
    <w:rsid w:val="001F32DB"/>
    <w:rsid w:val="001F45BE"/>
    <w:rsid w:val="00251298"/>
    <w:rsid w:val="00264CC9"/>
    <w:rsid w:val="002712D2"/>
    <w:rsid w:val="00287143"/>
    <w:rsid w:val="002C13D1"/>
    <w:rsid w:val="00346BC5"/>
    <w:rsid w:val="00355923"/>
    <w:rsid w:val="0035655A"/>
    <w:rsid w:val="00362D4E"/>
    <w:rsid w:val="0037463C"/>
    <w:rsid w:val="003A552B"/>
    <w:rsid w:val="003C3C70"/>
    <w:rsid w:val="003F434A"/>
    <w:rsid w:val="0041028B"/>
    <w:rsid w:val="004160A9"/>
    <w:rsid w:val="0041736B"/>
    <w:rsid w:val="00417DC6"/>
    <w:rsid w:val="004436C0"/>
    <w:rsid w:val="004507B4"/>
    <w:rsid w:val="00474F7E"/>
    <w:rsid w:val="004A4B07"/>
    <w:rsid w:val="00554024"/>
    <w:rsid w:val="00593962"/>
    <w:rsid w:val="005A69B4"/>
    <w:rsid w:val="005D09A5"/>
    <w:rsid w:val="005D1943"/>
    <w:rsid w:val="00643410"/>
    <w:rsid w:val="00651AD4"/>
    <w:rsid w:val="0068215B"/>
    <w:rsid w:val="00684C50"/>
    <w:rsid w:val="006A4942"/>
    <w:rsid w:val="006B64B1"/>
    <w:rsid w:val="006E4AF6"/>
    <w:rsid w:val="007242EE"/>
    <w:rsid w:val="007549D8"/>
    <w:rsid w:val="007B38A5"/>
    <w:rsid w:val="007C4320"/>
    <w:rsid w:val="00825E57"/>
    <w:rsid w:val="008311A7"/>
    <w:rsid w:val="008E7360"/>
    <w:rsid w:val="00924342"/>
    <w:rsid w:val="00924FA1"/>
    <w:rsid w:val="00970CE9"/>
    <w:rsid w:val="00986106"/>
    <w:rsid w:val="009C4A7A"/>
    <w:rsid w:val="009C5234"/>
    <w:rsid w:val="009E5D4E"/>
    <w:rsid w:val="00A42730"/>
    <w:rsid w:val="00AA641E"/>
    <w:rsid w:val="00AE4F8E"/>
    <w:rsid w:val="00B05667"/>
    <w:rsid w:val="00B2384D"/>
    <w:rsid w:val="00B73FE5"/>
    <w:rsid w:val="00B81CF1"/>
    <w:rsid w:val="00B901D5"/>
    <w:rsid w:val="00BA05CE"/>
    <w:rsid w:val="00BC2F7B"/>
    <w:rsid w:val="00BF7692"/>
    <w:rsid w:val="00C23071"/>
    <w:rsid w:val="00C43EF5"/>
    <w:rsid w:val="00C70E89"/>
    <w:rsid w:val="00CB533D"/>
    <w:rsid w:val="00CC1274"/>
    <w:rsid w:val="00CC31E7"/>
    <w:rsid w:val="00CE7B8B"/>
    <w:rsid w:val="00CF50DF"/>
    <w:rsid w:val="00D32C33"/>
    <w:rsid w:val="00D50AAD"/>
    <w:rsid w:val="00D67228"/>
    <w:rsid w:val="00D87A97"/>
    <w:rsid w:val="00D9047F"/>
    <w:rsid w:val="00DC2B0F"/>
    <w:rsid w:val="00DC462B"/>
    <w:rsid w:val="00DE042C"/>
    <w:rsid w:val="00DF6C50"/>
    <w:rsid w:val="00DF71E2"/>
    <w:rsid w:val="00E075A5"/>
    <w:rsid w:val="00E17313"/>
    <w:rsid w:val="00E203ED"/>
    <w:rsid w:val="00E56A7E"/>
    <w:rsid w:val="00E86836"/>
    <w:rsid w:val="00E9637B"/>
    <w:rsid w:val="00EA2640"/>
    <w:rsid w:val="00EA5957"/>
    <w:rsid w:val="00EE0334"/>
    <w:rsid w:val="00EE6224"/>
    <w:rsid w:val="00F12B98"/>
    <w:rsid w:val="00F13AC6"/>
    <w:rsid w:val="00F47339"/>
    <w:rsid w:val="00F87B3D"/>
    <w:rsid w:val="00F971F8"/>
    <w:rsid w:val="00FB5283"/>
    <w:rsid w:val="00FD5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C9C29"/>
  <w15:chartTrackingRefBased/>
  <w15:docId w15:val="{11476ED2-EC65-421D-8EE2-6188543A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F7E"/>
    <w:rPr>
      <w:rFonts w:eastAsiaTheme="majorEastAsia" w:cstheme="majorBidi"/>
      <w:color w:val="272727" w:themeColor="text1" w:themeTint="D8"/>
    </w:rPr>
  </w:style>
  <w:style w:type="paragraph" w:styleId="Title">
    <w:name w:val="Title"/>
    <w:basedOn w:val="Normal"/>
    <w:next w:val="Normal"/>
    <w:link w:val="TitleChar"/>
    <w:uiPriority w:val="10"/>
    <w:qFormat/>
    <w:rsid w:val="00474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F7E"/>
    <w:pPr>
      <w:spacing w:before="160"/>
      <w:jc w:val="center"/>
    </w:pPr>
    <w:rPr>
      <w:i/>
      <w:iCs/>
      <w:color w:val="404040" w:themeColor="text1" w:themeTint="BF"/>
    </w:rPr>
  </w:style>
  <w:style w:type="character" w:customStyle="1" w:styleId="QuoteChar">
    <w:name w:val="Quote Char"/>
    <w:basedOn w:val="DefaultParagraphFont"/>
    <w:link w:val="Quote"/>
    <w:uiPriority w:val="29"/>
    <w:rsid w:val="00474F7E"/>
    <w:rPr>
      <w:i/>
      <w:iCs/>
      <w:color w:val="404040" w:themeColor="text1" w:themeTint="BF"/>
    </w:rPr>
  </w:style>
  <w:style w:type="paragraph" w:styleId="ListParagraph">
    <w:name w:val="List Paragraph"/>
    <w:basedOn w:val="Normal"/>
    <w:uiPriority w:val="34"/>
    <w:qFormat/>
    <w:rsid w:val="00474F7E"/>
    <w:pPr>
      <w:ind w:left="720"/>
      <w:contextualSpacing/>
    </w:pPr>
  </w:style>
  <w:style w:type="character" w:styleId="IntenseEmphasis">
    <w:name w:val="Intense Emphasis"/>
    <w:basedOn w:val="DefaultParagraphFont"/>
    <w:uiPriority w:val="21"/>
    <w:qFormat/>
    <w:rsid w:val="00474F7E"/>
    <w:rPr>
      <w:i/>
      <w:iCs/>
      <w:color w:val="0F4761" w:themeColor="accent1" w:themeShade="BF"/>
    </w:rPr>
  </w:style>
  <w:style w:type="paragraph" w:styleId="IntenseQuote">
    <w:name w:val="Intense Quote"/>
    <w:basedOn w:val="Normal"/>
    <w:next w:val="Normal"/>
    <w:link w:val="IntenseQuoteChar"/>
    <w:uiPriority w:val="30"/>
    <w:qFormat/>
    <w:rsid w:val="00474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F7E"/>
    <w:rPr>
      <w:i/>
      <w:iCs/>
      <w:color w:val="0F4761" w:themeColor="accent1" w:themeShade="BF"/>
    </w:rPr>
  </w:style>
  <w:style w:type="character" w:styleId="IntenseReference">
    <w:name w:val="Intense Reference"/>
    <w:basedOn w:val="DefaultParagraphFont"/>
    <w:uiPriority w:val="32"/>
    <w:qFormat/>
    <w:rsid w:val="00474F7E"/>
    <w:rPr>
      <w:b/>
      <w:bCs/>
      <w:smallCaps/>
      <w:color w:val="0F4761" w:themeColor="accent1" w:themeShade="BF"/>
      <w:spacing w:val="5"/>
    </w:rPr>
  </w:style>
  <w:style w:type="character" w:styleId="Hyperlink">
    <w:name w:val="Hyperlink"/>
    <w:basedOn w:val="DefaultParagraphFont"/>
    <w:uiPriority w:val="99"/>
    <w:unhideWhenUsed/>
    <w:rsid w:val="00B2384D"/>
    <w:rPr>
      <w:color w:val="467886" w:themeColor="hyperlink"/>
      <w:u w:val="single"/>
    </w:rPr>
  </w:style>
  <w:style w:type="character" w:styleId="UnresolvedMention">
    <w:name w:val="Unresolved Mention"/>
    <w:basedOn w:val="DefaultParagraphFont"/>
    <w:uiPriority w:val="99"/>
    <w:semiHidden/>
    <w:unhideWhenUsed/>
    <w:rsid w:val="00B2384D"/>
    <w:rPr>
      <w:color w:val="605E5C"/>
      <w:shd w:val="clear" w:color="auto" w:fill="E1DFDD"/>
    </w:rPr>
  </w:style>
  <w:style w:type="paragraph" w:styleId="Header">
    <w:name w:val="header"/>
    <w:basedOn w:val="Normal"/>
    <w:link w:val="HeaderChar"/>
    <w:uiPriority w:val="99"/>
    <w:unhideWhenUsed/>
    <w:rsid w:val="00450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7B4"/>
  </w:style>
  <w:style w:type="paragraph" w:styleId="Footer">
    <w:name w:val="footer"/>
    <w:basedOn w:val="Normal"/>
    <w:link w:val="FooterChar"/>
    <w:uiPriority w:val="99"/>
    <w:unhideWhenUsed/>
    <w:rsid w:val="00450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7B4"/>
  </w:style>
  <w:style w:type="character" w:styleId="CommentReference">
    <w:name w:val="annotation reference"/>
    <w:basedOn w:val="DefaultParagraphFont"/>
    <w:uiPriority w:val="99"/>
    <w:semiHidden/>
    <w:unhideWhenUsed/>
    <w:rsid w:val="00E075A5"/>
    <w:rPr>
      <w:sz w:val="16"/>
      <w:szCs w:val="16"/>
    </w:rPr>
  </w:style>
  <w:style w:type="paragraph" w:styleId="CommentText">
    <w:name w:val="annotation text"/>
    <w:basedOn w:val="Normal"/>
    <w:link w:val="CommentTextChar"/>
    <w:uiPriority w:val="99"/>
    <w:unhideWhenUsed/>
    <w:rsid w:val="00E075A5"/>
    <w:pPr>
      <w:spacing w:line="240" w:lineRule="auto"/>
    </w:pPr>
    <w:rPr>
      <w:sz w:val="20"/>
      <w:szCs w:val="20"/>
    </w:rPr>
  </w:style>
  <w:style w:type="character" w:customStyle="1" w:styleId="CommentTextChar">
    <w:name w:val="Comment Text Char"/>
    <w:basedOn w:val="DefaultParagraphFont"/>
    <w:link w:val="CommentText"/>
    <w:uiPriority w:val="99"/>
    <w:rsid w:val="00E075A5"/>
    <w:rPr>
      <w:sz w:val="20"/>
      <w:szCs w:val="20"/>
    </w:rPr>
  </w:style>
  <w:style w:type="paragraph" w:styleId="CommentSubject">
    <w:name w:val="annotation subject"/>
    <w:basedOn w:val="CommentText"/>
    <w:next w:val="CommentText"/>
    <w:link w:val="CommentSubjectChar"/>
    <w:uiPriority w:val="99"/>
    <w:semiHidden/>
    <w:unhideWhenUsed/>
    <w:rsid w:val="00E075A5"/>
    <w:rPr>
      <w:b/>
      <w:bCs/>
    </w:rPr>
  </w:style>
  <w:style w:type="character" w:customStyle="1" w:styleId="CommentSubjectChar">
    <w:name w:val="Comment Subject Char"/>
    <w:basedOn w:val="CommentTextChar"/>
    <w:link w:val="CommentSubject"/>
    <w:uiPriority w:val="99"/>
    <w:semiHidden/>
    <w:rsid w:val="00E075A5"/>
    <w:rPr>
      <w:b/>
      <w:bCs/>
      <w:sz w:val="20"/>
      <w:szCs w:val="20"/>
    </w:rPr>
  </w:style>
  <w:style w:type="paragraph" w:styleId="FootnoteText">
    <w:name w:val="footnote text"/>
    <w:basedOn w:val="Normal"/>
    <w:link w:val="FootnoteTextChar"/>
    <w:uiPriority w:val="99"/>
    <w:semiHidden/>
    <w:unhideWhenUsed/>
    <w:rsid w:val="003746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63C"/>
    <w:rPr>
      <w:sz w:val="20"/>
      <w:szCs w:val="20"/>
    </w:rPr>
  </w:style>
  <w:style w:type="character" w:styleId="FootnoteReference">
    <w:name w:val="footnote reference"/>
    <w:basedOn w:val="DefaultParagraphFont"/>
    <w:uiPriority w:val="99"/>
    <w:semiHidden/>
    <w:unhideWhenUsed/>
    <w:rsid w:val="0037463C"/>
    <w:rPr>
      <w:vertAlign w:val="superscript"/>
    </w:rPr>
  </w:style>
  <w:style w:type="paragraph" w:styleId="Revision">
    <w:name w:val="Revision"/>
    <w:hidden/>
    <w:uiPriority w:val="99"/>
    <w:semiHidden/>
    <w:rsid w:val="00B73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555272">
      <w:bodyDiv w:val="1"/>
      <w:marLeft w:val="0"/>
      <w:marRight w:val="0"/>
      <w:marTop w:val="0"/>
      <w:marBottom w:val="0"/>
      <w:divBdr>
        <w:top w:val="none" w:sz="0" w:space="0" w:color="auto"/>
        <w:left w:val="none" w:sz="0" w:space="0" w:color="auto"/>
        <w:bottom w:val="none" w:sz="0" w:space="0" w:color="auto"/>
        <w:right w:val="none" w:sz="0" w:space="0" w:color="auto"/>
      </w:divBdr>
    </w:div>
    <w:div w:id="1613053044">
      <w:bodyDiv w:val="1"/>
      <w:marLeft w:val="0"/>
      <w:marRight w:val="0"/>
      <w:marTop w:val="0"/>
      <w:marBottom w:val="0"/>
      <w:divBdr>
        <w:top w:val="none" w:sz="0" w:space="0" w:color="auto"/>
        <w:left w:val="none" w:sz="0" w:space="0" w:color="auto"/>
        <w:bottom w:val="none" w:sz="0" w:space="0" w:color="auto"/>
        <w:right w:val="none" w:sz="0" w:space="0" w:color="auto"/>
      </w:divBdr>
    </w:div>
    <w:div w:id="18849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a-alliance.org/" TargetMode="External"/><Relationship Id="rId13" Type="http://schemas.openxmlformats.org/officeDocument/2006/relationships/hyperlink" Target="https://the-rmp.eu/cont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pledge.eu/" TargetMode="External"/><Relationship Id="rId17" Type="http://schemas.openxmlformats.org/officeDocument/2006/relationships/hyperlink" Target="https://www.easa-alliance.org/members/" TargetMode="External"/><Relationship Id="rId2" Type="http://schemas.openxmlformats.org/officeDocument/2006/relationships/numbering" Target="numbering.xml"/><Relationship Id="rId16" Type="http://schemas.openxmlformats.org/officeDocument/2006/relationships/hyperlink" Target="https://www.easa-alliance.org/type-of-member/self-regulatory-organis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a-alliance.org/product-services/support-to-tech-driven-monitoring/" TargetMode="External"/><Relationship Id="rId5" Type="http://schemas.openxmlformats.org/officeDocument/2006/relationships/webSettings" Target="webSettings.xml"/><Relationship Id="rId15" Type="http://schemas.openxmlformats.org/officeDocument/2006/relationships/hyperlink" Target="https://www.jep.be/sites/default/files/rule_reccommendation/alcoholconvenant_-_nl_-_2019.pdf" TargetMode="External"/><Relationship Id="rId10" Type="http://schemas.openxmlformats.org/officeDocument/2006/relationships/hyperlink" Target="https://iccwbo.org/news-publications/policies-reports/icc-advertising-and-marketing-communications-co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fanet.org/knowledge/item/2023/12/13/Polish-Organisation-of-Advertisers-launched" TargetMode="External"/><Relationship Id="rId14" Type="http://schemas.openxmlformats.org/officeDocument/2006/relationships/hyperlink" Target="https://www.jep.be/fr/codes-regl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asa-alliance.org/publication/statistics/" TargetMode="External"/><Relationship Id="rId2" Type="http://schemas.openxmlformats.org/officeDocument/2006/relationships/hyperlink" Target="https://commission.europa.eu/law/law-topic/consumer-protection-law/unfair-commercial-practices-law/unfair-commercial-practices-directive_en" TargetMode="External"/><Relationship Id="rId1" Type="http://schemas.openxmlformats.org/officeDocument/2006/relationships/hyperlink" Target="https://eur-lex.europa.eu/legal-content/EN/TXT/HTML/?uri=CELEX:02010L0013-20181218&amp;from=EN" TargetMode="External"/><Relationship Id="rId6" Type="http://schemas.openxmlformats.org/officeDocument/2006/relationships/hyperlink" Target="https://iccwbo.org/news-publications/policies-reports/the-benefits-of-advertising-self-regulation-in-ensuring-responsible-and-compliant-advertising/" TargetMode="External"/><Relationship Id="rId5" Type="http://schemas.openxmlformats.org/officeDocument/2006/relationships/hyperlink" Target="https://www.easa-alliance.org/publications/easa-about-us-leaflet-2023/" TargetMode="External"/><Relationship Id="rId4" Type="http://schemas.openxmlformats.org/officeDocument/2006/relationships/hyperlink" Target="https://www.easa-alliance.org/product-services/support-to-tech-driven-monito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B9AB-A831-4B26-801D-A0CF5BA4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M. Manda</dc:creator>
  <cp:keywords/>
  <dc:description/>
  <cp:lastModifiedBy>Giuditta Hanau Santini</cp:lastModifiedBy>
  <cp:revision>3</cp:revision>
  <dcterms:created xsi:type="dcterms:W3CDTF">2024-02-28T13:41:00Z</dcterms:created>
  <dcterms:modified xsi:type="dcterms:W3CDTF">2024-02-28T13:46:00Z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62ee6b4e4d2d57fbaf22ae5ebb1272fd7f44d00add15704e6738d2ae8dbb78f7</vt:lpwstr>
  </property>
</Properties>
</file>